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2D47" w:rsidRDefault="00803EC2">
      <w:pPr>
        <w:spacing w:after="95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5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sz w:val="28"/>
        </w:rPr>
        <w:t xml:space="preserve"> </w:t>
      </w:r>
    </w:p>
    <w:p w:rsidR="00B62D47" w:rsidRDefault="00803EC2">
      <w:pPr>
        <w:spacing w:after="93" w:line="259" w:lineRule="auto"/>
        <w:ind w:left="72" w:right="0" w:firstLine="0"/>
        <w:jc w:val="center"/>
      </w:pPr>
      <w:r>
        <w:rPr>
          <w:b/>
          <w:color w:val="FF0000"/>
          <w:sz w:val="28"/>
        </w:rPr>
        <w:t xml:space="preserve"> </w:t>
      </w:r>
    </w:p>
    <w:p w:rsidR="00B62D47" w:rsidRDefault="00803EC2">
      <w:pPr>
        <w:pStyle w:val="Naslov1"/>
      </w:pPr>
      <w:r>
        <w:t xml:space="preserve">Informacija </w:t>
      </w:r>
    </w:p>
    <w:p w:rsidR="00B62D47" w:rsidRDefault="00803EC2">
      <w:pPr>
        <w:spacing w:after="93" w:line="259" w:lineRule="auto"/>
        <w:ind w:right="1731" w:firstLine="0"/>
        <w:jc w:val="right"/>
      </w:pPr>
      <w:r>
        <w:rPr>
          <w:b/>
          <w:sz w:val="28"/>
        </w:rPr>
        <w:t xml:space="preserve">o ustrojavanju urbane aglomeracije Rijeka </w:t>
      </w:r>
    </w:p>
    <w:p w:rsidR="00B62D47" w:rsidRDefault="00803EC2">
      <w:pPr>
        <w:spacing w:after="59" w:line="259" w:lineRule="auto"/>
        <w:ind w:left="72" w:right="0" w:firstLine="0"/>
        <w:jc w:val="center"/>
      </w:pPr>
      <w:r>
        <w:rPr>
          <w:b/>
          <w:color w:val="FF0000"/>
          <w:sz w:val="28"/>
        </w:rPr>
        <w:t xml:space="preserve"> </w:t>
      </w:r>
    </w:p>
    <w:p w:rsidR="00B62D47" w:rsidRDefault="00803EC2">
      <w:pPr>
        <w:spacing w:after="0" w:line="259" w:lineRule="auto"/>
        <w:ind w:right="0" w:firstLine="0"/>
        <w:jc w:val="left"/>
      </w:pPr>
      <w:r>
        <w:t xml:space="preserve"> </w:t>
      </w:r>
      <w:r>
        <w:tab/>
        <w:t xml:space="preserve"> </w:t>
      </w:r>
    </w:p>
    <w:p w:rsidR="00D67C79" w:rsidRDefault="00D67C79">
      <w:pPr>
        <w:spacing w:after="160" w:line="259" w:lineRule="auto"/>
        <w:ind w:right="0" w:firstLine="0"/>
        <w:jc w:val="left"/>
      </w:pPr>
      <w:r>
        <w:br w:type="page"/>
      </w:r>
    </w:p>
    <w:p w:rsidR="00B62D47" w:rsidRDefault="00803EC2">
      <w:pPr>
        <w:spacing w:after="119" w:line="259" w:lineRule="auto"/>
        <w:ind w:left="1133" w:right="0" w:firstLine="0"/>
        <w:jc w:val="left"/>
      </w:pPr>
      <w:r>
        <w:lastRenderedPageBreak/>
        <w:t xml:space="preserve"> </w:t>
      </w:r>
    </w:p>
    <w:p w:rsidR="00B62D47" w:rsidRDefault="00803EC2">
      <w:pPr>
        <w:pStyle w:val="Naslov2"/>
        <w:tabs>
          <w:tab w:val="center" w:pos="658"/>
          <w:tab w:val="center" w:pos="1354"/>
        </w:tabs>
        <w:ind w:left="0" w:firstLine="0"/>
      </w:pPr>
      <w:r>
        <w:rPr>
          <w:rFonts w:ascii="Calibri" w:eastAsia="Calibri" w:hAnsi="Calibri" w:cs="Calibri"/>
          <w:b w:val="0"/>
        </w:rPr>
        <w:tab/>
      </w:r>
      <w:r>
        <w:t xml:space="preserve">1. </w:t>
      </w:r>
      <w:r>
        <w:tab/>
        <w:t xml:space="preserve">Uvod </w:t>
      </w:r>
    </w:p>
    <w:p w:rsidR="00B62D47" w:rsidRDefault="00803EC2">
      <w:pPr>
        <w:spacing w:after="141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31"/>
        <w:ind w:left="-13" w:right="0"/>
      </w:pPr>
      <w:r>
        <w:t>Europska unija mora pove</w:t>
      </w:r>
      <w:r>
        <w:t>ć</w:t>
      </w:r>
      <w:r>
        <w:t xml:space="preserve">ati konkurentnost na globalnom tržištu, a što je navedeno u strateškom dokumentu </w:t>
      </w:r>
      <w:r>
        <w:rPr>
          <w:i/>
        </w:rPr>
        <w:t>Europa 2020</w:t>
      </w:r>
      <w:r>
        <w:t xml:space="preserve">. Za Republiku Hrvatsku, kao novu </w:t>
      </w:r>
      <w:r>
        <w:t>č</w:t>
      </w:r>
      <w:r>
        <w:t>lanicu Europske unije to zna</w:t>
      </w:r>
      <w:r>
        <w:t>č</w:t>
      </w:r>
      <w:r>
        <w:t xml:space="preserve">i dodatne prilagodbe sa strateškim ciljevima EU.  </w:t>
      </w:r>
    </w:p>
    <w:p w:rsidR="00B62D47" w:rsidRDefault="00803EC2">
      <w:pPr>
        <w:spacing w:after="133"/>
        <w:ind w:left="-13" w:right="0"/>
      </w:pPr>
      <w:r>
        <w:t>Regionalni razvoj može zna</w:t>
      </w:r>
      <w:r>
        <w:t>č</w:t>
      </w:r>
      <w:r>
        <w:t>ajno pridonijeti konkurentnosti, a što dokazuju brojne europske regije. Suština suvremenog regionalnog razvoja je integrirano teritorijalno planiranj</w:t>
      </w:r>
      <w:r>
        <w:t xml:space="preserve">e koje predstavlja osnovu za realizaciju sredstava iz EU-fondova. </w:t>
      </w:r>
    </w:p>
    <w:p w:rsidR="00B62D47" w:rsidRDefault="00803EC2">
      <w:pPr>
        <w:ind w:left="-13" w:right="0"/>
      </w:pPr>
      <w:r>
        <w:t>U nastavku ovog materijala obra</w:t>
      </w:r>
      <w:r>
        <w:t>đ</w:t>
      </w:r>
      <w:r>
        <w:t>uje se novi zakonski okvir, postignuti stupanj suradnje na rije</w:t>
      </w:r>
      <w:r>
        <w:t>č</w:t>
      </w:r>
      <w:r>
        <w:t>kom podru</w:t>
      </w:r>
      <w:r>
        <w:t>č</w:t>
      </w:r>
      <w:r>
        <w:t>ju i mogu</w:t>
      </w:r>
      <w:r>
        <w:t>ć</w:t>
      </w:r>
      <w:r>
        <w:t xml:space="preserve">nosti za financiranje projekata koji doprinose regionalnom razvoju. </w:t>
      </w:r>
    </w:p>
    <w:p w:rsidR="00B62D47" w:rsidRDefault="00803EC2">
      <w:pPr>
        <w:spacing w:after="119" w:line="259" w:lineRule="auto"/>
        <w:ind w:right="0" w:firstLine="0"/>
        <w:jc w:val="left"/>
      </w:pPr>
      <w:r>
        <w:t xml:space="preserve"> </w:t>
      </w:r>
    </w:p>
    <w:p w:rsidR="00B62D47" w:rsidRDefault="00803EC2">
      <w:pPr>
        <w:pStyle w:val="Naslov2"/>
        <w:tabs>
          <w:tab w:val="center" w:pos="658"/>
          <w:tab w:val="center" w:pos="3513"/>
        </w:tabs>
        <w:ind w:left="0" w:firstLine="0"/>
      </w:pPr>
      <w:r>
        <w:rPr>
          <w:rFonts w:ascii="Calibri" w:eastAsia="Calibri" w:hAnsi="Calibri" w:cs="Calibri"/>
          <w:b w:val="0"/>
        </w:rPr>
        <w:tab/>
      </w:r>
      <w:r>
        <w:t>2</w:t>
      </w:r>
      <w:r>
        <w:t xml:space="preserve">. </w:t>
      </w:r>
      <w:r>
        <w:tab/>
        <w:t xml:space="preserve">Zakonski okvir za integrirani teritorijalni razvoj </w:t>
      </w:r>
    </w:p>
    <w:p w:rsidR="00B62D47" w:rsidRDefault="00803EC2">
      <w:pPr>
        <w:spacing w:after="100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ind w:left="-13" w:right="0"/>
      </w:pPr>
      <w:r>
        <w:t>U svrhu prilagodbe ciljevima i kriterijima EU po pitanju regionalnog razvoja, u prosincu 2014. godine Hrvatski Sabor je usvojio Zakon o regionalnom razvoju. Treba napomenuti da je javna rasprava o na</w:t>
      </w:r>
      <w:r>
        <w:t>vedenom Zakonu bila duga, a tijekom javne rasprave moglo se uo</w:t>
      </w:r>
      <w:r>
        <w:t>č</w:t>
      </w:r>
      <w:r>
        <w:t xml:space="preserve">iti da se u Hrvatskoj miješaju pojmovi </w:t>
      </w:r>
      <w:r>
        <w:rPr>
          <w:b/>
          <w:i/>
        </w:rPr>
        <w:t>teritorijalnog ustroja lokalne i područne (regionalne) samouprave</w:t>
      </w:r>
      <w:r>
        <w:t xml:space="preserve"> i </w:t>
      </w:r>
      <w:r>
        <w:rPr>
          <w:b/>
          <w:i/>
        </w:rPr>
        <w:t>integriranog teritorijalnog planiranja</w:t>
      </w:r>
      <w:r>
        <w:t>. Stoga odmah na po</w:t>
      </w:r>
      <w:r>
        <w:t>č</w:t>
      </w:r>
      <w:r>
        <w:t>etku treba ista</w:t>
      </w:r>
      <w:r>
        <w:t>ć</w:t>
      </w:r>
      <w:r>
        <w:t>i da nova zakonska rješenja koja se iznose u nastavku ovog materijala nipošto ne utje</w:t>
      </w:r>
      <w:r>
        <w:t>č</w:t>
      </w:r>
      <w:r>
        <w:t>u na reformu lokalne i regionalne (podru</w:t>
      </w:r>
      <w:r>
        <w:t>č</w:t>
      </w:r>
      <w:r>
        <w:t>ne) samouprave odnosno ne utje</w:t>
      </w:r>
      <w:r>
        <w:t>č</w:t>
      </w:r>
      <w:r>
        <w:t xml:space="preserve">u na teritorijalni ustroj Republike Hrvatske. </w:t>
      </w:r>
    </w:p>
    <w:p w:rsidR="00B62D47" w:rsidRDefault="00803EC2">
      <w:pPr>
        <w:spacing w:after="132"/>
        <w:ind w:left="-13" w:right="0"/>
      </w:pPr>
      <w:r>
        <w:rPr>
          <w:b/>
        </w:rPr>
        <w:t>Zakon o regionalnom razvoju</w:t>
      </w:r>
      <w:r>
        <w:t xml:space="preserve"> („Narodne novine“ broj 174/14) koji je stupio na snagu 01.01.2015. godine, donosi mnoge novosti sa stanovišta strateškog planiranja na lokalnoj i regionalnoj razini.  </w:t>
      </w:r>
    </w:p>
    <w:p w:rsidR="00B62D47" w:rsidRDefault="00803EC2">
      <w:pPr>
        <w:spacing w:after="131"/>
        <w:ind w:left="-13" w:right="0"/>
      </w:pPr>
      <w:r>
        <w:t>Uz obvezno strateško planiranje na razini velikih gradova, najve</w:t>
      </w:r>
      <w:r>
        <w:t>ć</w:t>
      </w:r>
      <w:r>
        <w:t>a novost je svakako fo</w:t>
      </w:r>
      <w:r>
        <w:t xml:space="preserve">rmiranje </w:t>
      </w:r>
      <w:r>
        <w:t>č</w:t>
      </w:r>
      <w:r>
        <w:t>etiri urbane aglomeracije (zagreba</w:t>
      </w:r>
      <w:r>
        <w:t>č</w:t>
      </w:r>
      <w:r>
        <w:t>ke, rije</w:t>
      </w:r>
      <w:r>
        <w:t>č</w:t>
      </w:r>
      <w:r>
        <w:t>ke, splitske i osje</w:t>
      </w:r>
      <w:r>
        <w:t>č</w:t>
      </w:r>
      <w:r>
        <w:t xml:space="preserve">ke).  </w:t>
      </w:r>
    </w:p>
    <w:p w:rsidR="00B62D47" w:rsidRDefault="00803EC2">
      <w:pPr>
        <w:ind w:left="-13" w:right="0"/>
      </w:pPr>
      <w:r>
        <w:t xml:space="preserve">Urbana aglomeracija Rijeka, kako je definira Zakon, imat </w:t>
      </w:r>
      <w:r>
        <w:t>ć</w:t>
      </w:r>
      <w:r>
        <w:t xml:space="preserve">e sjedište u Rijeci. </w:t>
      </w:r>
      <w:r>
        <w:rPr>
          <w:u w:val="single" w:color="000000"/>
        </w:rPr>
        <w:t>Grad</w:t>
      </w:r>
      <w:r>
        <w:t xml:space="preserve"> </w:t>
      </w:r>
      <w:r>
        <w:rPr>
          <w:u w:val="single" w:color="000000"/>
        </w:rPr>
        <w:t>Rijeka je odgovoran za iniciranje poziva jedinicama lokalne samouprave za uklju</w:t>
      </w:r>
      <w:r>
        <w:rPr>
          <w:u w:val="single" w:color="000000"/>
        </w:rPr>
        <w:t>č</w:t>
      </w:r>
      <w:r>
        <w:rPr>
          <w:u w:val="single" w:color="000000"/>
        </w:rPr>
        <w:t>ivanje u</w:t>
      </w:r>
      <w:r>
        <w:t xml:space="preserve"> </w:t>
      </w:r>
      <w:r>
        <w:rPr>
          <w:u w:val="single" w:color="000000"/>
        </w:rPr>
        <w:t>po</w:t>
      </w:r>
      <w:r>
        <w:rPr>
          <w:u w:val="single" w:color="000000"/>
        </w:rPr>
        <w:t>dru</w:t>
      </w:r>
      <w:r>
        <w:rPr>
          <w:u w:val="single" w:color="000000"/>
        </w:rPr>
        <w:t>č</w:t>
      </w:r>
      <w:r>
        <w:rPr>
          <w:u w:val="single" w:color="000000"/>
        </w:rPr>
        <w:t>je urbane aglomeracije Rijeka,</w:t>
      </w:r>
      <w:r>
        <w:t xml:space="preserve"> a nakon njegova ustrojavanja, za strateško planiranje i rad Partnerskog vije</w:t>
      </w:r>
      <w:r>
        <w:t>ć</w:t>
      </w:r>
      <w:r>
        <w:t xml:space="preserve">a.  </w:t>
      </w:r>
    </w:p>
    <w:p w:rsidR="00B62D47" w:rsidRDefault="00803EC2">
      <w:pPr>
        <w:spacing w:after="129"/>
        <w:ind w:left="-13" w:right="0"/>
      </w:pPr>
      <w:r>
        <w:t>Sukladno odredbama Zakona, u cilju ustrojavanja urbane aglomeracije Rijeka, potrebno je da sve jedinice lokalne  samouprave koje imaju inte</w:t>
      </w:r>
      <w:r>
        <w:t>resa za ulazak u sastav  urbane aglomeracije Rijeka pribave prethodna mišljenja svojih predstavni</w:t>
      </w:r>
      <w:r>
        <w:t>č</w:t>
      </w:r>
      <w:r>
        <w:t>kih tijela. Grad Rijeka, kao zakonski nositelj cijelog procesa, nakon pribavljanja prethodnih  mišljenja predstavni</w:t>
      </w:r>
      <w:r>
        <w:t>č</w:t>
      </w:r>
      <w:r>
        <w:t>kih tijela  jedinica lokalne samouprave za</w:t>
      </w:r>
      <w:r>
        <w:t>interesiranih za ulazak u aglomeraciju, obvezan je od strane svog predstavni</w:t>
      </w:r>
      <w:r>
        <w:t>č</w:t>
      </w:r>
      <w:r>
        <w:t>kog tijela utvrditi prijedlog odluke o ustrojavanju urbane aglomeracije Rijeka. Kona</w:t>
      </w:r>
      <w:r>
        <w:t>č</w:t>
      </w:r>
      <w:r>
        <w:t>no, Prijedlog odluke o ustrojavanju urbane aglomeracije Rijeka dostavlja se  ministru regional</w:t>
      </w:r>
      <w:r>
        <w:t xml:space="preserve">nog razvoja i fondova Europske unije radi donošenja odluke o ustrojavanju urbane aglomeracije Rijeka.  </w:t>
      </w:r>
    </w:p>
    <w:p w:rsidR="00B62D47" w:rsidRDefault="00803EC2">
      <w:pPr>
        <w:ind w:left="-13" w:right="0"/>
      </w:pPr>
      <w:r>
        <w:t>Dakle, gradove i op</w:t>
      </w:r>
      <w:r>
        <w:t>ć</w:t>
      </w:r>
      <w:r>
        <w:t xml:space="preserve">ine koji ulaze u sastav urbane aglomeracije Rijeka utvrditi </w:t>
      </w:r>
      <w:r>
        <w:t>ć</w:t>
      </w:r>
      <w:r>
        <w:t>e, sukladno Zakonu, ministar nadležan za regionalni razvoj i fondove Eu</w:t>
      </w:r>
      <w:r>
        <w:t xml:space="preserve">ropske unije svojom </w:t>
      </w:r>
      <w:r>
        <w:lastRenderedPageBreak/>
        <w:t xml:space="preserve">odlukom. Odluka bi sukladno Zakonu trebala biti donesena u roku od 90 dana od dana njegova stupanja na snagu, odnosno do kraja ožujka 2015. godine.  </w:t>
      </w:r>
    </w:p>
    <w:p w:rsidR="00B62D47" w:rsidRDefault="00803EC2">
      <w:pPr>
        <w:spacing w:after="153"/>
        <w:ind w:left="-13" w:right="0"/>
      </w:pPr>
      <w:r>
        <w:t>Nakon ustrojavanja urbane aglomeracije, Zakon propisuje obvezu izrade Strategije razvo</w:t>
      </w:r>
      <w:r>
        <w:t>ja urbanog podru</w:t>
      </w:r>
      <w:r>
        <w:t>č</w:t>
      </w:r>
      <w:r>
        <w:t>ja. Strategija razvoja urbanog podru</w:t>
      </w:r>
      <w:r>
        <w:t>č</w:t>
      </w:r>
      <w:r>
        <w:t>ja predstavlja temeljni strateški dokument u kojem se odre</w:t>
      </w:r>
      <w:r>
        <w:t>đ</w:t>
      </w:r>
      <w:r>
        <w:t>uju ciljevi i prioriteti razvoja za urbana podru</w:t>
      </w:r>
      <w:r>
        <w:t>č</w:t>
      </w:r>
      <w:r>
        <w:t>ja. Nositelj izrade Strategije razvoja urbanog podru</w:t>
      </w:r>
      <w:r>
        <w:t>č</w:t>
      </w:r>
      <w:r>
        <w:t>ja je sukladno Zakonu Grad Rijeka, kao gr</w:t>
      </w:r>
      <w:r>
        <w:t>ad koji je središte urbanog podru</w:t>
      </w:r>
      <w:r>
        <w:t>č</w:t>
      </w:r>
      <w:r>
        <w:t>ja. Strategiju donosi Gradsko vije</w:t>
      </w:r>
      <w:r>
        <w:t>ć</w:t>
      </w:r>
      <w:r>
        <w:t xml:space="preserve">e Grada Rijeke uz prethodno pribavljeno mišljenje svih jedinica lokalne samouprave koje su u sastavu urbane aglomeracije.  </w:t>
      </w:r>
    </w:p>
    <w:p w:rsidR="00B62D47" w:rsidRDefault="00803EC2">
      <w:pPr>
        <w:spacing w:after="131"/>
        <w:ind w:left="-13" w:right="0"/>
      </w:pPr>
      <w:r>
        <w:t xml:space="preserve">Ministarstvo </w:t>
      </w:r>
      <w:r>
        <w:t>ć</w:t>
      </w:r>
      <w:r>
        <w:t>e izraditi smjernice za izradu, pra</w:t>
      </w:r>
      <w:r>
        <w:t>ć</w:t>
      </w:r>
      <w:r>
        <w:t>enje, provedbu i vrednovanje strateškog materijala. U proces izrade Strategije mora biti uklju</w:t>
      </w:r>
      <w:r>
        <w:t>č</w:t>
      </w:r>
      <w:r>
        <w:t>eno i Partnersko vije</w:t>
      </w:r>
      <w:r>
        <w:t>ć</w:t>
      </w:r>
      <w:r>
        <w:t>e urbane aglomeracije. Naime, Zakon predvi</w:t>
      </w:r>
      <w:r>
        <w:t>đ</w:t>
      </w:r>
      <w:r>
        <w:t>a osnivanje Partnerskog vije</w:t>
      </w:r>
      <w:r>
        <w:t>ć</w:t>
      </w:r>
      <w:r>
        <w:t>a za urbano podru</w:t>
      </w:r>
      <w:r>
        <w:t>č</w:t>
      </w:r>
      <w:r>
        <w:t>je. Grad Rijeka je, sukladno Zakonu, definiran ka</w:t>
      </w:r>
      <w:r>
        <w:t>o inicijator ustrojavanja Partnerskog vije</w:t>
      </w:r>
      <w:r>
        <w:t>ć</w:t>
      </w:r>
      <w:r>
        <w:t>a, u kojem sve jedinice lokalne samouprave imaju svoje predstavnike. Tako</w:t>
      </w:r>
      <w:r>
        <w:t>đ</w:t>
      </w:r>
      <w:r>
        <w:t>er, administrativne i stru</w:t>
      </w:r>
      <w:r>
        <w:t>č</w:t>
      </w:r>
      <w:r>
        <w:t>ne poslove za rad Partnerskog vije</w:t>
      </w:r>
      <w:r>
        <w:t>ć</w:t>
      </w:r>
      <w:r>
        <w:t xml:space="preserve">a obavljat </w:t>
      </w:r>
      <w:r>
        <w:t>ć</w:t>
      </w:r>
      <w:r>
        <w:t xml:space="preserve">e Grad Rijeka. </w:t>
      </w:r>
      <w:r>
        <w:t>Č</w:t>
      </w:r>
      <w:r>
        <w:t>lanove Partnerskog vije</w:t>
      </w:r>
      <w:r>
        <w:t>ć</w:t>
      </w:r>
      <w:r>
        <w:t>a imenuju jedinice lokaln</w:t>
      </w:r>
      <w:r>
        <w:t>e samouprave koje su prethodno postale sastavni dio urbane aglomeracije Rijeka. Kako je partnerstvo jedno od bitnih na</w:t>
      </w:r>
      <w:r>
        <w:t>č</w:t>
      </w:r>
      <w:r>
        <w:t>ela ovog modela, bitno je da lokalne jedinice u sastav Partnerskog vije</w:t>
      </w:r>
      <w:r>
        <w:t>ć</w:t>
      </w:r>
      <w:r>
        <w:t>a imenuju predstavnike javnog, poslovnog, obrazovnog i civilnog s</w:t>
      </w:r>
      <w:r>
        <w:t xml:space="preserve">ektora, a </w:t>
      </w:r>
      <w:r>
        <w:t>č</w:t>
      </w:r>
      <w:r>
        <w:t>ime se moraju istaknuti specifi</w:t>
      </w:r>
      <w:r>
        <w:t>č</w:t>
      </w:r>
      <w:r>
        <w:t xml:space="preserve">nosti bitne za razvoj svake lokalne jedinice. Pritom </w:t>
      </w:r>
      <w:r>
        <w:t>ć</w:t>
      </w:r>
      <w:r>
        <w:t>e svakako biti zna</w:t>
      </w:r>
      <w:r>
        <w:t>č</w:t>
      </w:r>
      <w:r>
        <w:t>ajno uklju</w:t>
      </w:r>
      <w:r>
        <w:t>č</w:t>
      </w:r>
      <w:r>
        <w:t>iti predstavnike svih sektora relevantnih za razvoj urbane aglomeracije, ali i svake od lokalnih jedinica. Funkcioniranje Partner</w:t>
      </w:r>
      <w:r>
        <w:t>skog vije</w:t>
      </w:r>
      <w:r>
        <w:t>ć</w:t>
      </w:r>
      <w:r>
        <w:t>a je klju</w:t>
      </w:r>
      <w:r>
        <w:t>č</w:t>
      </w:r>
      <w:r>
        <w:t>no za proces izrade strategije, odre</w:t>
      </w:r>
      <w:r>
        <w:t>đ</w:t>
      </w:r>
      <w:r>
        <w:t xml:space="preserve">ivanje kriterija po kojem </w:t>
      </w:r>
      <w:r>
        <w:t>ć</w:t>
      </w:r>
      <w:r>
        <w:t>e se vrednovati zajedni</w:t>
      </w:r>
      <w:r>
        <w:t>č</w:t>
      </w:r>
      <w:r>
        <w:t xml:space="preserve">ki projekti i prijavljivati za raspoloživa sredstva </w:t>
      </w:r>
      <w:proofErr w:type="spellStart"/>
      <w:r>
        <w:t>EUfondova</w:t>
      </w:r>
      <w:proofErr w:type="spellEnd"/>
      <w:r>
        <w:t xml:space="preserve">. Uredbom Vlade Republike Hrvatske definirat </w:t>
      </w:r>
      <w:r>
        <w:t>ć</w:t>
      </w:r>
      <w:r>
        <w:t>e se sva pitanja vezana uz osnivanje, sas</w:t>
      </w:r>
      <w:r>
        <w:t>tav, djelokrug i na</w:t>
      </w:r>
      <w:r>
        <w:t>č</w:t>
      </w:r>
      <w:r>
        <w:t>in rada Partnerskog vije</w:t>
      </w:r>
      <w:r>
        <w:t>ć</w:t>
      </w:r>
      <w:r>
        <w:t xml:space="preserve">a urbane aglomeracije. </w:t>
      </w:r>
    </w:p>
    <w:p w:rsidR="00B62D47" w:rsidRDefault="00803EC2">
      <w:pPr>
        <w:spacing w:after="111"/>
        <w:ind w:left="-13" w:right="0"/>
      </w:pPr>
      <w:r>
        <w:t xml:space="preserve">Iako postoji niz otvorenih pitanja oko provedbe navedenog Zakona, a koji </w:t>
      </w:r>
      <w:r>
        <w:t>ć</w:t>
      </w:r>
      <w:r>
        <w:t xml:space="preserve">e se naknadno regulirati </w:t>
      </w:r>
      <w:proofErr w:type="spellStart"/>
      <w:r>
        <w:t>podzakonskim</w:t>
      </w:r>
      <w:proofErr w:type="spellEnd"/>
      <w:r>
        <w:t xml:space="preserve"> aktima, jasno je da EU inzistira na ja</w:t>
      </w:r>
      <w:r>
        <w:t>č</w:t>
      </w:r>
      <w:r>
        <w:t xml:space="preserve">oj suradnji jedinica lokalne uprave </w:t>
      </w:r>
      <w:r>
        <w:t xml:space="preserve">i samouprave.  </w:t>
      </w:r>
    </w:p>
    <w:p w:rsidR="00B62D47" w:rsidRDefault="00803EC2">
      <w:pPr>
        <w:pStyle w:val="Naslov2"/>
        <w:tabs>
          <w:tab w:val="center" w:pos="658"/>
          <w:tab w:val="center" w:pos="4229"/>
        </w:tabs>
        <w:ind w:left="0" w:firstLine="0"/>
      </w:pPr>
      <w:r>
        <w:rPr>
          <w:rFonts w:ascii="Calibri" w:eastAsia="Calibri" w:hAnsi="Calibri" w:cs="Calibri"/>
          <w:b w:val="0"/>
        </w:rPr>
        <w:tab/>
      </w:r>
      <w:r>
        <w:t xml:space="preserve">3. </w:t>
      </w:r>
      <w:r>
        <w:tab/>
        <w:t xml:space="preserve">Prijedlog teritorijalnog obuhvata urbane aglomeracije Rijeka </w:t>
      </w:r>
    </w:p>
    <w:p w:rsidR="00B62D47" w:rsidRDefault="00803EC2">
      <w:pPr>
        <w:spacing w:after="103" w:line="259" w:lineRule="auto"/>
        <w:ind w:left="566" w:right="0" w:firstLine="0"/>
        <w:jc w:val="left"/>
      </w:pPr>
      <w:r>
        <w:rPr>
          <w:b/>
        </w:rPr>
        <w:t xml:space="preserve"> </w:t>
      </w:r>
    </w:p>
    <w:p w:rsidR="00B62D47" w:rsidRDefault="00803EC2">
      <w:pPr>
        <w:spacing w:after="129"/>
        <w:ind w:left="-13" w:right="0"/>
      </w:pPr>
      <w:r>
        <w:t>Grad Rijeka je sa susjednim jedinicama lokalne samouprave stvorio  partnerstva putem komunalnih društava, te na zajedni</w:t>
      </w:r>
      <w:r>
        <w:t>č</w:t>
      </w:r>
      <w:r>
        <w:t xml:space="preserve">kim projektima.  </w:t>
      </w:r>
    </w:p>
    <w:p w:rsidR="00B62D47" w:rsidRDefault="00803EC2">
      <w:pPr>
        <w:ind w:left="-13" w:right="0"/>
      </w:pPr>
      <w:r>
        <w:t>U tablicama 1-3 prikazani su vlas</w:t>
      </w:r>
      <w:r>
        <w:t>ni</w:t>
      </w:r>
      <w:r>
        <w:t>č</w:t>
      </w:r>
      <w:r>
        <w:t xml:space="preserve">ki udjeli jedinica lokalne samouprave u komunalnim društvima. </w:t>
      </w:r>
    </w:p>
    <w:p w:rsidR="00B62D47" w:rsidRDefault="00803EC2">
      <w:pPr>
        <w:spacing w:after="141" w:line="259" w:lineRule="auto"/>
        <w:ind w:left="566" w:right="0" w:firstLine="0"/>
        <w:jc w:val="left"/>
      </w:pPr>
      <w:r>
        <w:rPr>
          <w:b/>
        </w:rPr>
        <w:t xml:space="preserve"> </w:t>
      </w:r>
    </w:p>
    <w:p w:rsidR="00B62D47" w:rsidRDefault="00803EC2">
      <w:pPr>
        <w:spacing w:after="0" w:line="259" w:lineRule="auto"/>
        <w:ind w:right="20" w:firstLine="0"/>
        <w:jc w:val="right"/>
      </w:pPr>
      <w:r>
        <w:rPr>
          <w:b/>
        </w:rPr>
        <w:t>Tablica 1.</w:t>
      </w:r>
      <w:r>
        <w:t xml:space="preserve"> Vlasni</w:t>
      </w:r>
      <w:r>
        <w:t>č</w:t>
      </w:r>
      <w:r>
        <w:t xml:space="preserve">ka struktura komunalnog društva Vodovod i kanalizacija d.o.o. Rijeka </w:t>
      </w:r>
    </w:p>
    <w:tbl>
      <w:tblPr>
        <w:tblStyle w:val="TableGrid"/>
        <w:tblW w:w="5950" w:type="dxa"/>
        <w:tblInd w:w="1561" w:type="dxa"/>
        <w:tblCellMar>
          <w:top w:w="85" w:type="dxa"/>
          <w:left w:w="10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75"/>
        <w:gridCol w:w="2975"/>
      </w:tblGrid>
      <w:tr w:rsidR="00B62D47">
        <w:trPr>
          <w:trHeight w:val="406"/>
        </w:trPr>
        <w:tc>
          <w:tcPr>
            <w:tcW w:w="5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B62D47" w:rsidRDefault="00803EC2">
            <w:pPr>
              <w:spacing w:after="0" w:line="259" w:lineRule="auto"/>
              <w:ind w:left="7" w:right="0" w:firstLine="0"/>
              <w:jc w:val="center"/>
            </w:pPr>
            <w:r>
              <w:rPr>
                <w:b/>
              </w:rPr>
              <w:t xml:space="preserve">Komunalno društvo Vodovod i kanalizacija d.o.o. </w:t>
            </w:r>
          </w:p>
        </w:tc>
      </w:tr>
      <w:tr w:rsidR="00B62D47">
        <w:trPr>
          <w:trHeight w:val="349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Rijeka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259" w:right="0" w:firstLine="0"/>
              <w:jc w:val="center"/>
            </w:pPr>
            <w:r>
              <w:t xml:space="preserve">82,60%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Bakar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4,50%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Kostrena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4,01%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Kastav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2,10%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Viškovo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1,87%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lastRenderedPageBreak/>
              <w:t>Op</w:t>
            </w:r>
            <w:r>
              <w:t>ć</w:t>
            </w:r>
            <w:r>
              <w:t xml:space="preserve">ina </w:t>
            </w:r>
            <w:r>
              <w:t>Č</w:t>
            </w:r>
            <w:r>
              <w:t xml:space="preserve">avle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1,73% </w:t>
            </w:r>
          </w:p>
        </w:tc>
      </w:tr>
      <w:tr w:rsidR="00B62D47">
        <w:trPr>
          <w:trHeight w:val="348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Kraljevica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1,55%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Jelenje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0,97%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Klana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0,67% </w:t>
            </w:r>
          </w:p>
        </w:tc>
      </w:tr>
    </w:tbl>
    <w:p w:rsidR="00B62D47" w:rsidRDefault="00803EC2">
      <w:pPr>
        <w:spacing w:after="141" w:line="259" w:lineRule="auto"/>
        <w:ind w:left="10" w:right="9" w:hanging="10"/>
        <w:jc w:val="center"/>
      </w:pPr>
      <w:r>
        <w:rPr>
          <w:sz w:val="20"/>
        </w:rPr>
        <w:t xml:space="preserve">Izvor: www.kdvik-rijeka.hr </w:t>
      </w:r>
    </w:p>
    <w:p w:rsidR="00B62D47" w:rsidRDefault="00803EC2">
      <w:pPr>
        <w:spacing w:after="0" w:line="259" w:lineRule="auto"/>
        <w:ind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B62D47" w:rsidRDefault="00803EC2">
      <w:pPr>
        <w:spacing w:after="0"/>
        <w:ind w:left="566" w:right="0" w:firstLine="0"/>
      </w:pPr>
      <w:r>
        <w:rPr>
          <w:b/>
        </w:rPr>
        <w:t>Tablica 2.</w:t>
      </w:r>
      <w:r>
        <w:t xml:space="preserve"> Vlasni</w:t>
      </w:r>
      <w:r>
        <w:t>č</w:t>
      </w:r>
      <w:r>
        <w:t xml:space="preserve">ka struktura komunalnog društva Autotrolej d.o.o. Rijeka </w:t>
      </w:r>
    </w:p>
    <w:tbl>
      <w:tblPr>
        <w:tblStyle w:val="TableGrid"/>
        <w:tblW w:w="5950" w:type="dxa"/>
        <w:tblInd w:w="1561" w:type="dxa"/>
        <w:tblCellMar>
          <w:top w:w="88" w:type="dxa"/>
          <w:left w:w="10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75"/>
        <w:gridCol w:w="2975"/>
      </w:tblGrid>
      <w:tr w:rsidR="00B62D47">
        <w:trPr>
          <w:trHeight w:val="403"/>
        </w:trPr>
        <w:tc>
          <w:tcPr>
            <w:tcW w:w="5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B62D47" w:rsidRDefault="00803EC2">
            <w:pPr>
              <w:spacing w:after="0" w:line="259" w:lineRule="auto"/>
              <w:ind w:left="10" w:right="0" w:firstLine="0"/>
              <w:jc w:val="center"/>
            </w:pPr>
            <w:r>
              <w:rPr>
                <w:b/>
              </w:rPr>
              <w:t xml:space="preserve">Komunalno društvo Autotrolej d.o.o. </w:t>
            </w:r>
          </w:p>
        </w:tc>
      </w:tr>
      <w:tr w:rsidR="00B62D47">
        <w:trPr>
          <w:trHeight w:val="352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Rijeka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259" w:right="0" w:firstLine="0"/>
              <w:jc w:val="center"/>
            </w:pPr>
            <w:r>
              <w:t xml:space="preserve">83,44%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</w:t>
            </w:r>
            <w:r>
              <w:t>Č</w:t>
            </w:r>
            <w:r>
              <w:t xml:space="preserve">avle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3,27%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Bakar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2,75%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Kostrena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2,67%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Viškovo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2,27% </w:t>
            </w:r>
          </w:p>
        </w:tc>
      </w:tr>
      <w:tr w:rsidR="00B62D47">
        <w:trPr>
          <w:trHeight w:val="348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Jelenje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1,80%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Kastav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1,68%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Klana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1,28%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Kraljevica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0,84% </w:t>
            </w:r>
          </w:p>
        </w:tc>
      </w:tr>
    </w:tbl>
    <w:p w:rsidR="00B62D47" w:rsidRDefault="00803EC2">
      <w:pPr>
        <w:spacing w:after="119" w:line="259" w:lineRule="auto"/>
        <w:ind w:left="10" w:right="9" w:hanging="10"/>
        <w:jc w:val="center"/>
      </w:pPr>
      <w:r>
        <w:t xml:space="preserve">Izvor: </w:t>
      </w:r>
      <w:r>
        <w:rPr>
          <w:sz w:val="20"/>
        </w:rPr>
        <w:t xml:space="preserve">www.autotrolej.hr </w:t>
      </w:r>
    </w:p>
    <w:p w:rsidR="00B62D47" w:rsidRDefault="00803EC2">
      <w:pPr>
        <w:spacing w:after="100" w:line="259" w:lineRule="auto"/>
        <w:ind w:left="56" w:right="0" w:firstLine="0"/>
        <w:jc w:val="center"/>
      </w:pPr>
      <w:r>
        <w:t xml:space="preserve"> </w:t>
      </w:r>
    </w:p>
    <w:p w:rsidR="00B62D47" w:rsidRDefault="00803EC2">
      <w:pPr>
        <w:spacing w:after="135" w:line="259" w:lineRule="auto"/>
        <w:ind w:right="0" w:firstLine="0"/>
        <w:jc w:val="left"/>
      </w:pPr>
      <w:r>
        <w:t xml:space="preserve"> </w:t>
      </w:r>
    </w:p>
    <w:p w:rsidR="00B62D47" w:rsidRDefault="00803EC2">
      <w:pPr>
        <w:spacing w:after="0"/>
        <w:ind w:left="566" w:right="0" w:firstLine="0"/>
      </w:pPr>
      <w:r>
        <w:rPr>
          <w:b/>
        </w:rPr>
        <w:t>Tablica 3.</w:t>
      </w:r>
      <w:r>
        <w:t xml:space="preserve"> Vlasni</w:t>
      </w:r>
      <w:r>
        <w:t>č</w:t>
      </w:r>
      <w:r>
        <w:t xml:space="preserve">ka struktura komunalnog društva </w:t>
      </w:r>
      <w:r>
        <w:t>Č</w:t>
      </w:r>
      <w:r>
        <w:t>isto</w:t>
      </w:r>
      <w:r>
        <w:t>ć</w:t>
      </w:r>
      <w:r>
        <w:t xml:space="preserve">a d.o.o. Rijeka </w:t>
      </w:r>
    </w:p>
    <w:tbl>
      <w:tblPr>
        <w:tblStyle w:val="TableGrid"/>
        <w:tblW w:w="5950" w:type="dxa"/>
        <w:tblInd w:w="1561" w:type="dxa"/>
        <w:tblCellMar>
          <w:top w:w="88" w:type="dxa"/>
          <w:left w:w="10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75"/>
        <w:gridCol w:w="2975"/>
      </w:tblGrid>
      <w:tr w:rsidR="00B62D47">
        <w:trPr>
          <w:trHeight w:val="403"/>
        </w:trPr>
        <w:tc>
          <w:tcPr>
            <w:tcW w:w="59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B62D47" w:rsidRDefault="00803EC2">
            <w:pPr>
              <w:spacing w:after="0" w:line="259" w:lineRule="auto"/>
              <w:ind w:left="10" w:right="0" w:firstLine="0"/>
              <w:jc w:val="center"/>
            </w:pPr>
            <w:r>
              <w:rPr>
                <w:b/>
              </w:rPr>
              <w:t xml:space="preserve">Komunalno društvo Čistoća d.o.o. </w:t>
            </w:r>
          </w:p>
        </w:tc>
      </w:tr>
      <w:tr w:rsidR="00B62D47">
        <w:trPr>
          <w:trHeight w:val="352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Rijeka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259" w:right="0" w:firstLine="0"/>
              <w:jc w:val="center"/>
            </w:pPr>
            <w:r>
              <w:t xml:space="preserve">81,23%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Bakar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4,08%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Kastav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2,74%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Grad Kraljevica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2,50% </w:t>
            </w:r>
          </w:p>
        </w:tc>
      </w:tr>
      <w:tr w:rsidR="00B62D47">
        <w:trPr>
          <w:trHeight w:val="348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Viškovo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2,49%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</w:t>
            </w:r>
            <w:r>
              <w:t>Č</w:t>
            </w:r>
            <w:r>
              <w:t xml:space="preserve">avle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2,30%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Kostrena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2,20%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Jelenje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1,93% </w:t>
            </w:r>
          </w:p>
        </w:tc>
      </w:tr>
      <w:tr w:rsidR="00B62D47">
        <w:trPr>
          <w:trHeight w:val="350"/>
        </w:trPr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Klana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381" w:right="0" w:firstLine="0"/>
              <w:jc w:val="center"/>
            </w:pPr>
            <w:r>
              <w:t xml:space="preserve">0,53% </w:t>
            </w:r>
          </w:p>
        </w:tc>
      </w:tr>
    </w:tbl>
    <w:p w:rsidR="00B62D47" w:rsidRDefault="00803EC2">
      <w:pPr>
        <w:spacing w:after="119" w:line="259" w:lineRule="auto"/>
        <w:ind w:left="10" w:right="9" w:hanging="10"/>
        <w:jc w:val="center"/>
      </w:pPr>
      <w:r>
        <w:rPr>
          <w:sz w:val="20"/>
        </w:rPr>
        <w:t xml:space="preserve">Izvor: www.cistoca-ri.hr </w:t>
      </w:r>
    </w:p>
    <w:p w:rsidR="00B62D47" w:rsidRDefault="00803EC2">
      <w:pPr>
        <w:spacing w:after="138" w:line="259" w:lineRule="auto"/>
        <w:ind w:left="566" w:right="0" w:firstLine="0"/>
        <w:jc w:val="left"/>
      </w:pPr>
      <w:r>
        <w:t xml:space="preserve">   </w:t>
      </w:r>
    </w:p>
    <w:p w:rsidR="00B62D47" w:rsidRDefault="00803EC2">
      <w:pPr>
        <w:spacing w:after="128"/>
        <w:ind w:left="-13" w:right="0"/>
      </w:pPr>
      <w:r>
        <w:lastRenderedPageBreak/>
        <w:t>U vlasni</w:t>
      </w:r>
      <w:r>
        <w:t>č</w:t>
      </w:r>
      <w:r>
        <w:t>koj strukturi navedenih komunalnih društava zastupljeni su gradovi i op</w:t>
      </w:r>
      <w:r>
        <w:t>ć</w:t>
      </w:r>
      <w:r>
        <w:t>ine bivšeg rije</w:t>
      </w:r>
      <w:r>
        <w:t>č</w:t>
      </w:r>
      <w:r>
        <w:t>kog urbanog podru</w:t>
      </w:r>
      <w:r>
        <w:t>č</w:t>
      </w:r>
      <w:r>
        <w:t>ja. Danas se s ponosom može re</w:t>
      </w:r>
      <w:r>
        <w:t>ć</w:t>
      </w:r>
      <w:r>
        <w:t>i da su suvlasnici komunalnih i trgova</w:t>
      </w:r>
      <w:r>
        <w:t>č</w:t>
      </w:r>
      <w:r>
        <w:t>kih društava sudionici u realizaciji zajedni</w:t>
      </w:r>
      <w:r>
        <w:t>č</w:t>
      </w:r>
      <w:r>
        <w:t xml:space="preserve">kih projekata.   </w:t>
      </w:r>
    </w:p>
    <w:p w:rsidR="00B62D47" w:rsidRDefault="00803EC2">
      <w:pPr>
        <w:ind w:left="-13" w:right="0"/>
      </w:pPr>
      <w:r>
        <w:t>Tako</w:t>
      </w:r>
      <w:r>
        <w:t>đ</w:t>
      </w:r>
      <w:r>
        <w:t>er, glavnim planom proširenja kanalizacijskog sustava, kao što prikazuje slika 1., obuhva</w:t>
      </w:r>
      <w:r>
        <w:t>ć</w:t>
      </w:r>
      <w:r>
        <w:t>eno je šire podru</w:t>
      </w:r>
      <w:r>
        <w:t>č</w:t>
      </w:r>
      <w:r>
        <w:t xml:space="preserve">je oko Rijeke.  </w:t>
      </w:r>
    </w:p>
    <w:p w:rsidR="00B62D47" w:rsidRDefault="00803EC2">
      <w:pPr>
        <w:spacing w:after="122" w:line="259" w:lineRule="auto"/>
        <w:ind w:left="566" w:right="0" w:firstLine="0"/>
        <w:jc w:val="left"/>
      </w:pPr>
      <w:r>
        <w:rPr>
          <w:b/>
        </w:rPr>
        <w:t xml:space="preserve"> </w:t>
      </w:r>
    </w:p>
    <w:p w:rsidR="00B62D47" w:rsidRDefault="00803EC2">
      <w:pPr>
        <w:spacing w:after="0" w:line="259" w:lineRule="auto"/>
        <w:ind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B62D47" w:rsidRDefault="00803EC2">
      <w:pPr>
        <w:spacing w:after="0"/>
        <w:ind w:left="569" w:right="0" w:firstLine="0"/>
      </w:pPr>
      <w:r>
        <w:rPr>
          <w:b/>
        </w:rPr>
        <w:t>Slika 1.</w:t>
      </w:r>
      <w:r>
        <w:t xml:space="preserve"> Proširenje kanalizacijskog sustava (Master plan) </w:t>
      </w:r>
    </w:p>
    <w:p w:rsidR="00B62D47" w:rsidRDefault="00803EC2">
      <w:pPr>
        <w:spacing w:after="166" w:line="259" w:lineRule="auto"/>
        <w:ind w:left="907" w:right="0" w:firstLine="0"/>
        <w:jc w:val="left"/>
      </w:pPr>
      <w:r>
        <w:rPr>
          <w:rFonts w:ascii="Calibri" w:eastAsia="Calibri" w:hAnsi="Calibri" w:cs="Calibri"/>
          <w:noProof/>
        </w:rPr>
        <mc:AlternateContent>
          <mc:Choice Requires="wpg">
            <w:drawing>
              <wp:inline distT="0" distB="0" distL="0" distR="0">
                <wp:extent cx="4658193" cy="3429284"/>
                <wp:effectExtent l="0" t="0" r="0" b="0"/>
                <wp:docPr id="17139" name="Group 17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8193" cy="3429284"/>
                          <a:chOff x="0" y="0"/>
                          <a:chExt cx="4658193" cy="3429284"/>
                        </a:xfrm>
                      </wpg:grpSpPr>
                      <wps:wsp>
                        <wps:cNvPr id="672" name="Rectangle 672"/>
                        <wps:cNvSpPr/>
                        <wps:spPr>
                          <a:xfrm>
                            <a:off x="4619238" y="3108880"/>
                            <a:ext cx="51810" cy="1724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3" name="Rectangle 673"/>
                        <wps:cNvSpPr/>
                        <wps:spPr>
                          <a:xfrm>
                            <a:off x="1584959" y="3312279"/>
                            <a:ext cx="1962178" cy="155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Izvor: www.kdvik-rijeka.hr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4" name="Picture 69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6096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6" name="Picture 69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461772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8" name="Picture 69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917448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0" name="Picture 7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373124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2" name="Picture 70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828800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4" name="Picture 70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284476"/>
                            <a:ext cx="4590288" cy="4556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6" name="Picture 70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2740152"/>
                            <a:ext cx="4590288" cy="4511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7" name="Shape 707"/>
                        <wps:cNvSpPr/>
                        <wps:spPr>
                          <a:xfrm>
                            <a:off x="0" y="0"/>
                            <a:ext cx="2304288" cy="31988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4288" h="3198876">
                                <a:moveTo>
                                  <a:pt x="0" y="0"/>
                                </a:moveTo>
                                <a:lnTo>
                                  <a:pt x="2304288" y="0"/>
                                </a:lnTo>
                                <a:lnTo>
                                  <a:pt x="2304288" y="9144"/>
                                </a:lnTo>
                                <a:lnTo>
                                  <a:pt x="10668" y="9144"/>
                                </a:lnTo>
                                <a:lnTo>
                                  <a:pt x="10668" y="3189732"/>
                                </a:lnTo>
                                <a:lnTo>
                                  <a:pt x="2304288" y="3189732"/>
                                </a:lnTo>
                                <a:lnTo>
                                  <a:pt x="2304288" y="3198876"/>
                                </a:lnTo>
                                <a:lnTo>
                                  <a:pt x="0" y="3198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" name="Shape 708"/>
                        <wps:cNvSpPr/>
                        <wps:spPr>
                          <a:xfrm>
                            <a:off x="2304288" y="0"/>
                            <a:ext cx="2302764" cy="31988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2764" h="3198876">
                                <a:moveTo>
                                  <a:pt x="0" y="0"/>
                                </a:moveTo>
                                <a:lnTo>
                                  <a:pt x="2302764" y="0"/>
                                </a:lnTo>
                                <a:lnTo>
                                  <a:pt x="2302764" y="3198876"/>
                                </a:lnTo>
                                <a:lnTo>
                                  <a:pt x="0" y="3198876"/>
                                </a:lnTo>
                                <a:lnTo>
                                  <a:pt x="0" y="3189732"/>
                                </a:lnTo>
                                <a:lnTo>
                                  <a:pt x="2293620" y="3189732"/>
                                </a:lnTo>
                                <a:lnTo>
                                  <a:pt x="229362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7139" style="width:366.787pt;height:270.022pt;mso-position-horizontal-relative:char;mso-position-vertical-relative:line" coordsize="46581,34292">
                <v:rect id="Rectangle 672" style="position:absolute;width:518;height:1724;left:46192;top:310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673" style="position:absolute;width:19621;height:1556;left:15849;top:331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Izvor: www.kdvik-rijeka.hr </w:t>
                        </w:r>
                      </w:p>
                    </w:txbxContent>
                  </v:textbox>
                </v:rect>
                <v:shape id="Picture 694" style="position:absolute;width:45902;height:4556;left:76;top:60;" filled="f">
                  <v:imagedata r:id="rId14"/>
                </v:shape>
                <v:shape id="Picture 696" style="position:absolute;width:45902;height:4556;left:76;top:4617;" filled="f">
                  <v:imagedata r:id="rId15"/>
                </v:shape>
                <v:shape id="Picture 698" style="position:absolute;width:45902;height:4556;left:76;top:9174;" filled="f">
                  <v:imagedata r:id="rId16"/>
                </v:shape>
                <v:shape id="Picture 700" style="position:absolute;width:45902;height:4556;left:76;top:13731;" filled="f">
                  <v:imagedata r:id="rId17"/>
                </v:shape>
                <v:shape id="Picture 702" style="position:absolute;width:45902;height:4556;left:76;top:18288;" filled="f">
                  <v:imagedata r:id="rId18"/>
                </v:shape>
                <v:shape id="Picture 704" style="position:absolute;width:45902;height:4556;left:76;top:22844;" filled="f">
                  <v:imagedata r:id="rId19"/>
                </v:shape>
                <v:shape id="Picture 706" style="position:absolute;width:45902;height:4511;left:76;top:27401;" filled="f">
                  <v:imagedata r:id="rId20"/>
                </v:shape>
                <v:shape id="Shape 707" style="position:absolute;width:23042;height:31988;left:0;top:0;" coordsize="2304288,3198876" path="m0,0l2304288,0l2304288,9144l10668,9144l10668,3189732l2304288,3189732l2304288,3198876l0,3198876l0,0x">
                  <v:stroke weight="0pt" endcap="flat" joinstyle="miter" miterlimit="10" on="false" color="#000000" opacity="0"/>
                  <v:fill on="true" color="#000000"/>
                </v:shape>
                <v:shape id="Shape 708" style="position:absolute;width:23027;height:31988;left:23042;top:0;" coordsize="2302764,3198876" path="m0,0l2302764,0l2302764,3198876l0,3198876l0,3189732l2293620,3189732l2293620,9144l0,9144l0,0x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62D47" w:rsidRDefault="00803EC2">
      <w:pPr>
        <w:spacing w:after="163" w:line="259" w:lineRule="auto"/>
        <w:ind w:left="54" w:right="0" w:firstLine="0"/>
        <w:jc w:val="center"/>
      </w:pPr>
      <w:r>
        <w:rPr>
          <w:sz w:val="20"/>
        </w:rPr>
        <w:t xml:space="preserve"> </w:t>
      </w:r>
    </w:p>
    <w:p w:rsidR="00B62D47" w:rsidRDefault="00803EC2">
      <w:pPr>
        <w:ind w:left="-13" w:right="0"/>
      </w:pPr>
      <w:r>
        <w:t>Iz slike 2. u nastavku, može se sagledati postoje</w:t>
      </w:r>
      <w:r>
        <w:t>ć</w:t>
      </w:r>
      <w:r>
        <w:t>a mreža županijskih autobusnih linija koje povezuju urbano podru</w:t>
      </w:r>
      <w:r>
        <w:t>č</w:t>
      </w:r>
      <w:r>
        <w:t xml:space="preserve">je oko Rijeke. </w:t>
      </w:r>
    </w:p>
    <w:p w:rsidR="00B62D47" w:rsidRDefault="00803EC2">
      <w:pPr>
        <w:spacing w:after="95" w:line="259" w:lineRule="auto"/>
        <w:ind w:left="569" w:right="0" w:firstLine="0"/>
        <w:jc w:val="left"/>
      </w:pPr>
      <w:r>
        <w:t xml:space="preserve"> </w:t>
      </w:r>
    </w:p>
    <w:p w:rsidR="00B62D47" w:rsidRDefault="00803EC2">
      <w:pPr>
        <w:spacing w:after="0"/>
        <w:ind w:left="569" w:right="0" w:firstLine="0"/>
      </w:pPr>
      <w:r>
        <w:rPr>
          <w:b/>
        </w:rPr>
        <w:t>Slika 2.</w:t>
      </w:r>
      <w:r>
        <w:t xml:space="preserve"> Mreža županijskih linija s tarifnim zonama </w:t>
      </w:r>
    </w:p>
    <w:p w:rsidR="00B62D47" w:rsidRDefault="00803EC2">
      <w:pPr>
        <w:spacing w:after="167" w:line="259" w:lineRule="auto"/>
        <w:ind w:left="893" w:right="0" w:firstLine="0"/>
        <w:jc w:val="left"/>
      </w:pPr>
      <w:r>
        <w:rPr>
          <w:rFonts w:ascii="Calibri" w:eastAsia="Calibri" w:hAnsi="Calibri" w:cs="Calibri"/>
          <w:noProof/>
        </w:rPr>
        <w:lastRenderedPageBreak/>
        <mc:AlternateContent>
          <mc:Choice Requires="wpg">
            <w:drawing>
              <wp:inline distT="0" distB="0" distL="0" distR="0">
                <wp:extent cx="4676473" cy="2935505"/>
                <wp:effectExtent l="0" t="0" r="0" b="0"/>
                <wp:docPr id="17140" name="Group 17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6473" cy="2935505"/>
                          <a:chOff x="0" y="0"/>
                          <a:chExt cx="4676473" cy="2935505"/>
                        </a:xfrm>
                      </wpg:grpSpPr>
                      <wps:wsp>
                        <wps:cNvPr id="684" name="Rectangle 684"/>
                        <wps:cNvSpPr/>
                        <wps:spPr>
                          <a:xfrm>
                            <a:off x="4637518" y="2615106"/>
                            <a:ext cx="51810" cy="172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5" name="Rectangle 685"/>
                        <wps:cNvSpPr/>
                        <wps:spPr>
                          <a:xfrm>
                            <a:off x="1650491" y="2818501"/>
                            <a:ext cx="1812188" cy="1556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Izvor: www.autotrolej.hr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0" name="Picture 71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10668"/>
                            <a:ext cx="4613148" cy="2676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1" name="Shape 711"/>
                        <wps:cNvSpPr/>
                        <wps:spPr>
                          <a:xfrm>
                            <a:off x="0" y="0"/>
                            <a:ext cx="2317242" cy="2695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17242" h="2695956">
                                <a:moveTo>
                                  <a:pt x="4572" y="0"/>
                                </a:moveTo>
                                <a:lnTo>
                                  <a:pt x="2317242" y="0"/>
                                </a:lnTo>
                                <a:lnTo>
                                  <a:pt x="2317242" y="10668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2686812"/>
                                </a:lnTo>
                                <a:lnTo>
                                  <a:pt x="2317242" y="2686812"/>
                                </a:lnTo>
                                <a:lnTo>
                                  <a:pt x="2317242" y="2695956"/>
                                </a:lnTo>
                                <a:lnTo>
                                  <a:pt x="4572" y="2695956"/>
                                </a:lnTo>
                                <a:cubicBezTo>
                                  <a:pt x="3048" y="2695956"/>
                                  <a:pt x="0" y="2694432"/>
                                  <a:pt x="0" y="2691384"/>
                                </a:cubicBezTo>
                                <a:lnTo>
                                  <a:pt x="0" y="4572"/>
                                </a:lnTo>
                                <a:cubicBezTo>
                                  <a:pt x="0" y="3048"/>
                                  <a:pt x="3048" y="0"/>
                                  <a:pt x="45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2" name="Shape 712"/>
                        <wps:cNvSpPr/>
                        <wps:spPr>
                          <a:xfrm>
                            <a:off x="2317242" y="0"/>
                            <a:ext cx="2315718" cy="2695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15718" h="2695956">
                                <a:moveTo>
                                  <a:pt x="0" y="0"/>
                                </a:moveTo>
                                <a:lnTo>
                                  <a:pt x="2311146" y="0"/>
                                </a:lnTo>
                                <a:cubicBezTo>
                                  <a:pt x="2314194" y="0"/>
                                  <a:pt x="2315718" y="3048"/>
                                  <a:pt x="2315718" y="4572"/>
                                </a:cubicBezTo>
                                <a:lnTo>
                                  <a:pt x="2315718" y="2691384"/>
                                </a:lnTo>
                                <a:cubicBezTo>
                                  <a:pt x="2315718" y="2694432"/>
                                  <a:pt x="2314194" y="2695956"/>
                                  <a:pt x="2311146" y="2695956"/>
                                </a:cubicBezTo>
                                <a:lnTo>
                                  <a:pt x="0" y="2695956"/>
                                </a:lnTo>
                                <a:lnTo>
                                  <a:pt x="0" y="2686812"/>
                                </a:lnTo>
                                <a:lnTo>
                                  <a:pt x="2306574" y="2686812"/>
                                </a:lnTo>
                                <a:lnTo>
                                  <a:pt x="2306574" y="10668"/>
                                </a:ln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7140" style="width:368.226pt;height:231.142pt;mso-position-horizontal-relative:char;mso-position-vertical-relative:line" coordsize="46764,29355">
                <v:rect id="Rectangle 684" style="position:absolute;width:518;height:1724;left:46375;top:261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685" style="position:absolute;width:18121;height:1556;left:16504;top:281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Izvor: www.autotrolej.hr </w:t>
                        </w:r>
                      </w:p>
                    </w:txbxContent>
                  </v:textbox>
                </v:rect>
                <v:shape id="Picture 710" style="position:absolute;width:46131;height:26761;left:106;top:106;" filled="f">
                  <v:imagedata r:id="rId22"/>
                </v:shape>
                <v:shape id="Shape 711" style="position:absolute;width:23172;height:26959;left:0;top:0;" coordsize="2317242,2695956" path="m4572,0l2317242,0l2317242,10668l10668,10668l10668,2686812l2317242,2686812l2317242,2695956l4572,2695956c3048,2695956,0,2694432,0,2691384l0,4572c0,3048,3048,0,4572,0x">
                  <v:stroke weight="0pt" endcap="flat" joinstyle="miter" miterlimit="10" on="false" color="#000000" opacity="0"/>
                  <v:fill on="true" color="#000000"/>
                </v:shape>
                <v:shape id="Shape 712" style="position:absolute;width:23157;height:26959;left:23172;top:0;" coordsize="2315718,2695956" path="m0,0l2311146,0c2314194,0,2315718,3048,2315718,4572l2315718,2691384c2315718,2694432,2314194,2695956,2311146,2695956l0,2695956l0,2686812l2306574,2686812l2306574,10668l0,10668l0,0x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62D47" w:rsidRDefault="00803EC2">
      <w:pPr>
        <w:spacing w:after="100" w:line="259" w:lineRule="auto"/>
        <w:ind w:left="58" w:right="0" w:firstLine="0"/>
        <w:jc w:val="center"/>
      </w:pPr>
      <w:r>
        <w:rPr>
          <w:b/>
        </w:rPr>
        <w:t xml:space="preserve"> </w:t>
      </w:r>
      <w:r>
        <w:t xml:space="preserve"> </w:t>
      </w:r>
    </w:p>
    <w:p w:rsidR="00B62D47" w:rsidRDefault="00803EC2">
      <w:pPr>
        <w:ind w:left="-13" w:right="0"/>
      </w:pPr>
      <w:r>
        <w:t>Treba navesti i druge planove raz</w:t>
      </w:r>
      <w:r>
        <w:t>voja na nacionalnoj razini koji imaju isti teritorijalni princip, a kao primjer se može ista</w:t>
      </w:r>
      <w:r>
        <w:t>ć</w:t>
      </w:r>
      <w:r>
        <w:t xml:space="preserve">i razvoj sustava željeznice. U suradnji s Hrvatskim željeznicama, dovršena je </w:t>
      </w:r>
      <w:proofErr w:type="spellStart"/>
      <w:r>
        <w:t>predstudija</w:t>
      </w:r>
      <w:proofErr w:type="spellEnd"/>
      <w:r>
        <w:t xml:space="preserve"> za željeznicu koja je bitna za financiranje od strane EU-fondova, a plani</w:t>
      </w:r>
      <w:r>
        <w:t xml:space="preserve">rana trasa željeznice proteže se od </w:t>
      </w:r>
      <w:proofErr w:type="spellStart"/>
      <w:r>
        <w:t>Permana</w:t>
      </w:r>
      <w:proofErr w:type="spellEnd"/>
      <w:r>
        <w:t xml:space="preserve"> do </w:t>
      </w:r>
      <w:proofErr w:type="spellStart"/>
      <w:r>
        <w:t>Škrljeva</w:t>
      </w:r>
      <w:proofErr w:type="spellEnd"/>
      <w:r>
        <w:t>. Za rije</w:t>
      </w:r>
      <w:r>
        <w:t>č</w:t>
      </w:r>
      <w:r>
        <w:t>ku aglomeraciju poseban zna</w:t>
      </w:r>
      <w:r>
        <w:t>č</w:t>
      </w:r>
      <w:r>
        <w:t xml:space="preserve">aj ima integriranje željeznice u javni gradski prijevoz.  </w:t>
      </w:r>
    </w:p>
    <w:p w:rsidR="00B62D47" w:rsidRDefault="00803EC2">
      <w:pPr>
        <w:spacing w:after="128"/>
        <w:ind w:left="-13" w:right="0"/>
      </w:pPr>
      <w:r>
        <w:t>Treba naglasiti i poseban zna</w:t>
      </w:r>
      <w:r>
        <w:t>č</w:t>
      </w:r>
      <w:r>
        <w:t>aj Op</w:t>
      </w:r>
      <w:r>
        <w:t>ć</w:t>
      </w:r>
      <w:r>
        <w:t>ine Omišalj za rije</w:t>
      </w:r>
      <w:r>
        <w:t>č</w:t>
      </w:r>
      <w:r>
        <w:t>ku aglomeraciju. Kao što je poznato, na podru</w:t>
      </w:r>
      <w:r>
        <w:t>č</w:t>
      </w:r>
      <w:r>
        <w:t>ju Op</w:t>
      </w:r>
      <w:r>
        <w:t>ć</w:t>
      </w:r>
      <w:r>
        <w:t xml:space="preserve">ine Omišalj </w:t>
      </w:r>
      <w:r>
        <w:t>č</w:t>
      </w:r>
      <w:r>
        <w:t>ijem smješteni su Zra</w:t>
      </w:r>
      <w:r>
        <w:t>č</w:t>
      </w:r>
      <w:r>
        <w:t>na luka Rijeka i lu</w:t>
      </w:r>
      <w:r>
        <w:t>č</w:t>
      </w:r>
      <w:r>
        <w:t>ki terminal, a na tom prostoru definirani su i planovi daljnjeg razvoja rije</w:t>
      </w:r>
      <w:r>
        <w:t>č</w:t>
      </w:r>
      <w:r>
        <w:t>kog lu</w:t>
      </w:r>
      <w:r>
        <w:t>č</w:t>
      </w:r>
      <w:r>
        <w:t xml:space="preserve">kog bazena.  </w:t>
      </w:r>
    </w:p>
    <w:p w:rsidR="00B62D47" w:rsidRDefault="00803EC2">
      <w:pPr>
        <w:ind w:left="-13" w:right="0"/>
      </w:pPr>
      <w:r>
        <w:t>Preporuke Ministarstva regionalnoga razvoja i fondova Europske unije su da podru</w:t>
      </w:r>
      <w:r>
        <w:t>č</w:t>
      </w:r>
      <w:r>
        <w:t>je urbane aglomeracije svakako bude manje od podru</w:t>
      </w:r>
      <w:r>
        <w:t>č</w:t>
      </w:r>
      <w:r>
        <w:t>ja županije. Iz navedenog razloga, u prijedlog urbane aglomeracije Rijeka nisu uklju</w:t>
      </w:r>
      <w:r>
        <w:t>č</w:t>
      </w:r>
      <w:r>
        <w:t>eni ostali oto</w:t>
      </w:r>
      <w:r>
        <w:t>č</w:t>
      </w:r>
      <w:r>
        <w:t>ki gradovi i op</w:t>
      </w:r>
      <w:r>
        <w:t>ć</w:t>
      </w:r>
      <w:r>
        <w:t>ine, kao ni lokalne jedinice iz Gorskog Kotara, a niti Grad Crikvenica, Grad Novi Vinodol</w:t>
      </w:r>
      <w:r>
        <w:t>ski i Op</w:t>
      </w:r>
      <w:r>
        <w:t>ć</w:t>
      </w:r>
      <w:r>
        <w:t xml:space="preserve">ina Vinodolska.  </w:t>
      </w:r>
    </w:p>
    <w:p w:rsidR="00B62D47" w:rsidRDefault="00803EC2">
      <w:pPr>
        <w:ind w:left="-13" w:right="0"/>
      </w:pPr>
      <w:r>
        <w:t xml:space="preserve"> Temeljem dostignute razine suradnje putem komunalnih društava kao i suradnji u razvoju prometne i komunalne infrastrukture, Grad Rijeka predlaže ustrojavanje urbane aglomeracije Rijeka na podru</w:t>
      </w:r>
      <w:r>
        <w:t>č</w:t>
      </w:r>
      <w:r>
        <w:t xml:space="preserve">ju kojeg </w:t>
      </w:r>
      <w:r>
        <w:t>č</w:t>
      </w:r>
      <w:r>
        <w:t>ine: Grad Bakar, Op</w:t>
      </w:r>
      <w:r>
        <w:t>ć</w:t>
      </w:r>
      <w:r>
        <w:t xml:space="preserve">ina </w:t>
      </w:r>
      <w:r>
        <w:t>Č</w:t>
      </w:r>
      <w:r>
        <w:t>avle, Op</w:t>
      </w:r>
      <w:r>
        <w:t>ć</w:t>
      </w:r>
      <w:r>
        <w:t>ina Jelenje, Grad Kastav, Op</w:t>
      </w:r>
      <w:r>
        <w:t>ć</w:t>
      </w:r>
      <w:r>
        <w:t>ina Klana, Grad Kraljevica, Op</w:t>
      </w:r>
      <w:r>
        <w:t>ć</w:t>
      </w:r>
      <w:r>
        <w:t>ina Kostrena, Op</w:t>
      </w:r>
      <w:r>
        <w:t>ć</w:t>
      </w:r>
      <w:r>
        <w:t>ina Lovran, Op</w:t>
      </w:r>
      <w:r>
        <w:t>ć</w:t>
      </w:r>
      <w:r>
        <w:t>ina Matulji, Op</w:t>
      </w:r>
      <w:r>
        <w:t>ć</w:t>
      </w:r>
      <w:r>
        <w:t xml:space="preserve">ina </w:t>
      </w:r>
      <w:proofErr w:type="spellStart"/>
      <w:r>
        <w:t>Moš</w:t>
      </w:r>
      <w:r>
        <w:t>ć</w:t>
      </w:r>
      <w:r>
        <w:t>eni</w:t>
      </w:r>
      <w:r>
        <w:t>č</w:t>
      </w:r>
      <w:r>
        <w:t>ka</w:t>
      </w:r>
      <w:proofErr w:type="spellEnd"/>
      <w:r>
        <w:t xml:space="preserve"> Draga, Op</w:t>
      </w:r>
      <w:r>
        <w:t>ć</w:t>
      </w:r>
      <w:r>
        <w:t>ina Omišalj, Grad Opatija i Op</w:t>
      </w:r>
      <w:r>
        <w:t>ć</w:t>
      </w:r>
      <w:r>
        <w:t xml:space="preserve">ina Viškovo. </w:t>
      </w:r>
    </w:p>
    <w:p w:rsidR="00B62D47" w:rsidRDefault="00803EC2">
      <w:pPr>
        <w:spacing w:after="136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0"/>
        <w:ind w:left="566" w:right="0" w:firstLine="0"/>
      </w:pPr>
      <w:r>
        <w:rPr>
          <w:b/>
        </w:rPr>
        <w:t>Slika 3.</w:t>
      </w:r>
      <w:r>
        <w:t xml:space="preserve"> Prijedlog podru</w:t>
      </w:r>
      <w:r>
        <w:t>č</w:t>
      </w:r>
      <w:r>
        <w:t xml:space="preserve">ja Urbane aglomeracije Rijeke </w:t>
      </w:r>
    </w:p>
    <w:p w:rsidR="00B62D47" w:rsidRDefault="00803EC2">
      <w:pPr>
        <w:spacing w:after="167" w:line="259" w:lineRule="auto"/>
        <w:ind w:left="1178" w:right="0" w:firstLine="0"/>
        <w:jc w:val="left"/>
      </w:pPr>
      <w:r>
        <w:rPr>
          <w:rFonts w:ascii="Calibri" w:eastAsia="Calibri" w:hAnsi="Calibri" w:cs="Calibri"/>
          <w:noProof/>
        </w:rPr>
        <w:lastRenderedPageBreak/>
        <mc:AlternateContent>
          <mc:Choice Requires="wpg">
            <w:drawing>
              <wp:inline distT="0" distB="0" distL="0" distR="0">
                <wp:extent cx="4313763" cy="3904770"/>
                <wp:effectExtent l="0" t="0" r="0" b="0"/>
                <wp:docPr id="17418" name="Group 17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3763" cy="3904770"/>
                          <a:chOff x="0" y="0"/>
                          <a:chExt cx="4313763" cy="3904770"/>
                        </a:xfrm>
                      </wpg:grpSpPr>
                      <wps:wsp>
                        <wps:cNvPr id="803" name="Rectangle 803"/>
                        <wps:cNvSpPr/>
                        <wps:spPr>
                          <a:xfrm>
                            <a:off x="4274808" y="3582837"/>
                            <a:ext cx="51810" cy="172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4" name="Rectangle 804"/>
                        <wps:cNvSpPr/>
                        <wps:spPr>
                          <a:xfrm>
                            <a:off x="1802890" y="3787765"/>
                            <a:ext cx="1398695" cy="155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62D47" w:rsidRDefault="00803EC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>Izv</w:t>
                              </w:r>
                              <w:r>
                                <w:rPr>
                                  <w:sz w:val="20"/>
                                </w:rPr>
                                <w:t xml:space="preserve">or: Grad Rijeka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8" name="Picture 8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9144"/>
                            <a:ext cx="4247388" cy="36606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9" name="Shape 829"/>
                        <wps:cNvSpPr/>
                        <wps:spPr>
                          <a:xfrm>
                            <a:off x="0" y="0"/>
                            <a:ext cx="2132838" cy="36789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838" h="3678936">
                                <a:moveTo>
                                  <a:pt x="4572" y="0"/>
                                </a:moveTo>
                                <a:lnTo>
                                  <a:pt x="2132838" y="0"/>
                                </a:lnTo>
                                <a:lnTo>
                                  <a:pt x="2132838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9144" y="3669792"/>
                                </a:lnTo>
                                <a:lnTo>
                                  <a:pt x="2132838" y="3669792"/>
                                </a:lnTo>
                                <a:lnTo>
                                  <a:pt x="2132838" y="3678936"/>
                                </a:lnTo>
                                <a:lnTo>
                                  <a:pt x="4572" y="3678936"/>
                                </a:lnTo>
                                <a:cubicBezTo>
                                  <a:pt x="1524" y="3678936"/>
                                  <a:pt x="0" y="3675888"/>
                                  <a:pt x="0" y="3674364"/>
                                </a:cubicBezTo>
                                <a:lnTo>
                                  <a:pt x="0" y="4572"/>
                                </a:lnTo>
                                <a:cubicBezTo>
                                  <a:pt x="0" y="1524"/>
                                  <a:pt x="1524" y="0"/>
                                  <a:pt x="457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" name="Shape 830"/>
                        <wps:cNvSpPr/>
                        <wps:spPr>
                          <a:xfrm>
                            <a:off x="2132838" y="0"/>
                            <a:ext cx="2134362" cy="36789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4362" h="3678936">
                                <a:moveTo>
                                  <a:pt x="0" y="0"/>
                                </a:moveTo>
                                <a:lnTo>
                                  <a:pt x="2128266" y="0"/>
                                </a:lnTo>
                                <a:cubicBezTo>
                                  <a:pt x="2131314" y="0"/>
                                  <a:pt x="2134362" y="1524"/>
                                  <a:pt x="2134362" y="4572"/>
                                </a:cubicBezTo>
                                <a:lnTo>
                                  <a:pt x="2134362" y="3674364"/>
                                </a:lnTo>
                                <a:cubicBezTo>
                                  <a:pt x="2134362" y="3675888"/>
                                  <a:pt x="2131314" y="3678936"/>
                                  <a:pt x="2128266" y="3678936"/>
                                </a:cubicBezTo>
                                <a:lnTo>
                                  <a:pt x="0" y="3678936"/>
                                </a:lnTo>
                                <a:lnTo>
                                  <a:pt x="0" y="3669792"/>
                                </a:lnTo>
                                <a:lnTo>
                                  <a:pt x="2123694" y="3669792"/>
                                </a:lnTo>
                                <a:lnTo>
                                  <a:pt x="21236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7418" style="width:339.666pt;height:307.462pt;mso-position-horizontal-relative:char;mso-position-vertical-relative:line" coordsize="43137,39047">
                <v:rect id="Rectangle 803" style="position:absolute;width:518;height:1724;left:42748;top:358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4" style="position:absolute;width:13986;height:1556;left:18028;top:378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Izvor: Grad Rijeka </w:t>
                        </w:r>
                      </w:p>
                    </w:txbxContent>
                  </v:textbox>
                </v:rect>
                <v:shape id="Picture 828" style="position:absolute;width:42473;height:36606;left:91;top:91;" filled="f">
                  <v:imagedata r:id="rId24"/>
                </v:shape>
                <v:shape id="Shape 829" style="position:absolute;width:21328;height:36789;left:0;top:0;" coordsize="2132838,3678936" path="m4572,0l2132838,0l2132838,9144l9144,9144l9144,3669792l2132838,3669792l2132838,3678936l4572,3678936c1524,3678936,0,3675888,0,3674364l0,4572c0,1524,1524,0,4572,0x">
                  <v:stroke weight="0pt" endcap="flat" joinstyle="miter" miterlimit="10" on="false" color="#000000" opacity="0"/>
                  <v:fill on="true" color="#000000"/>
                </v:shape>
                <v:shape id="Shape 830" style="position:absolute;width:21343;height:36789;left:21328;top:0;" coordsize="2134362,3678936" path="m0,0l2128266,0c2131314,0,2134362,1524,2134362,4572l2134362,3674364c2134362,3675888,2131314,3678936,2128266,3678936l0,3678936l0,3669792l2123694,3669792l2123694,9144l0,9144l0,0x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62D47" w:rsidRDefault="00803EC2">
      <w:pPr>
        <w:spacing w:after="259" w:line="259" w:lineRule="auto"/>
        <w:ind w:right="0" w:firstLine="0"/>
        <w:jc w:val="left"/>
      </w:pPr>
      <w:r>
        <w:rPr>
          <w:b/>
        </w:rPr>
        <w:t xml:space="preserve"> </w:t>
      </w:r>
    </w:p>
    <w:p w:rsidR="00B62D47" w:rsidRDefault="00803EC2">
      <w:pPr>
        <w:ind w:left="-13" w:right="0"/>
      </w:pPr>
      <w:r>
        <w:t xml:space="preserve">Navedena slika prikazuje funkcionalnu cjelinu koju </w:t>
      </w:r>
      <w:r>
        <w:t>č</w:t>
      </w:r>
      <w:r>
        <w:t>ine jedinice lokalne samouprave zajedno s Gradom Rijekom kao središtem tog podru</w:t>
      </w:r>
      <w:r>
        <w:t>č</w:t>
      </w:r>
      <w:r>
        <w:t xml:space="preserve">ja. </w:t>
      </w:r>
    </w:p>
    <w:p w:rsidR="00B62D47" w:rsidRDefault="00803EC2">
      <w:pPr>
        <w:ind w:left="-13" w:right="0"/>
      </w:pPr>
      <w:r>
        <w:t>U nastavku se iznose podaci o broju stanovnika (prema Popisu iz 2011. godine) i površinama (u km</w:t>
      </w:r>
      <w:r>
        <w:rPr>
          <w:vertAlign w:val="superscript"/>
        </w:rPr>
        <w:t>2</w:t>
      </w:r>
      <w:r>
        <w:t>)</w:t>
      </w:r>
      <w:r>
        <w:t xml:space="preserve"> koje se odnose na pojedine jedinice lokalne samouprave na podru</w:t>
      </w:r>
      <w:r>
        <w:t>č</w:t>
      </w:r>
      <w:r>
        <w:t>ju rije</w:t>
      </w:r>
      <w:r>
        <w:t>č</w:t>
      </w:r>
      <w:r>
        <w:t>ke aglomeracije. Tako</w:t>
      </w:r>
      <w:r>
        <w:t>đ</w:t>
      </w:r>
      <w:r>
        <w:t>er, zanimljivo je sagledati ukupan broj stanovnika i ukupnu površinu koja bi se dobila ustrojavanjem urbane aglomeracije Rijeka sukladno Zakonu o regionalnom raz</w:t>
      </w:r>
      <w:r>
        <w:t>voju.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B62D47" w:rsidRDefault="00803EC2">
      <w:pPr>
        <w:spacing w:after="0"/>
        <w:ind w:left="-13" w:right="0"/>
      </w:pPr>
      <w:r>
        <w:rPr>
          <w:b/>
        </w:rPr>
        <w:t>Tablica 4.</w:t>
      </w:r>
      <w:r>
        <w:t xml:space="preserve"> Urbana aglomeracija Rijeka – podaci o broju stanovnika i površini jedinica lokalne  samouprave</w:t>
      </w:r>
      <w:r>
        <w:rPr>
          <w:b/>
        </w:rPr>
        <w:t xml:space="preserve"> </w:t>
      </w:r>
    </w:p>
    <w:tbl>
      <w:tblPr>
        <w:tblStyle w:val="TableGrid"/>
        <w:tblW w:w="6836" w:type="dxa"/>
        <w:tblInd w:w="1118" w:type="dxa"/>
        <w:tblCellMar>
          <w:top w:w="55" w:type="dxa"/>
          <w:left w:w="5" w:type="dxa"/>
          <w:bottom w:w="0" w:type="dxa"/>
          <w:right w:w="71" w:type="dxa"/>
        </w:tblCellMar>
        <w:tblLook w:val="04A0" w:firstRow="1" w:lastRow="0" w:firstColumn="1" w:lastColumn="0" w:noHBand="0" w:noVBand="1"/>
      </w:tblPr>
      <w:tblGrid>
        <w:gridCol w:w="2426"/>
        <w:gridCol w:w="2834"/>
        <w:gridCol w:w="1576"/>
      </w:tblGrid>
      <w:tr w:rsidR="00B62D47">
        <w:trPr>
          <w:trHeight w:val="520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  <w:vAlign w:val="center"/>
          </w:tcPr>
          <w:p w:rsidR="00B62D47" w:rsidRDefault="00803EC2">
            <w:pPr>
              <w:spacing w:after="0" w:line="259" w:lineRule="auto"/>
              <w:ind w:left="66" w:right="0" w:firstLine="0"/>
              <w:jc w:val="center"/>
            </w:pPr>
            <w:r>
              <w:rPr>
                <w:b/>
              </w:rPr>
              <w:t>Grad/Općina</w:t>
            </w:r>
            <w:r>
              <w:t xml:space="preserve">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B62D47" w:rsidRDefault="00803EC2">
            <w:pPr>
              <w:spacing w:after="0" w:line="259" w:lineRule="auto"/>
              <w:ind w:left="142" w:right="60" w:firstLine="0"/>
              <w:jc w:val="center"/>
            </w:pPr>
            <w:r>
              <w:rPr>
                <w:b/>
              </w:rPr>
              <w:t>Broj stanovnika</w:t>
            </w:r>
            <w:r>
              <w:t xml:space="preserve"> (prema popisu iz 2011. g.)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B62D47" w:rsidRDefault="00803EC2">
            <w:pPr>
              <w:spacing w:after="0" w:line="259" w:lineRule="auto"/>
              <w:ind w:left="221" w:right="92" w:firstLine="0"/>
              <w:jc w:val="center"/>
            </w:pPr>
            <w:r>
              <w:rPr>
                <w:b/>
              </w:rPr>
              <w:t>Površina</w:t>
            </w:r>
            <w:r>
              <w:t xml:space="preserve"> (u km²) </w:t>
            </w:r>
          </w:p>
        </w:tc>
      </w:tr>
      <w:tr w:rsidR="00B62D47">
        <w:trPr>
          <w:trHeight w:val="476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 xml:space="preserve">Grad Rijeka 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409" w:right="0" w:firstLine="0"/>
              <w:jc w:val="center"/>
            </w:pPr>
            <w:r>
              <w:t xml:space="preserve">128.624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43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 xml:space="preserve">Grad Bakar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8.279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394" w:right="0" w:firstLine="0"/>
              <w:jc w:val="center"/>
            </w:pPr>
            <w:r>
              <w:t xml:space="preserve">125 </w:t>
            </w:r>
          </w:p>
        </w:tc>
      </w:tr>
      <w:tr w:rsidR="00B62D47">
        <w:trPr>
          <w:trHeight w:val="475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</w:t>
            </w:r>
            <w:r>
              <w:t>Č</w:t>
            </w:r>
            <w:r>
              <w:t xml:space="preserve">avle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7.220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85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Jelenje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5.344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394" w:right="0" w:firstLine="0"/>
              <w:jc w:val="center"/>
            </w:pPr>
            <w:r>
              <w:t xml:space="preserve">109 </w:t>
            </w:r>
          </w:p>
        </w:tc>
      </w:tr>
      <w:tr w:rsidR="00B62D47">
        <w:trPr>
          <w:trHeight w:val="475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 xml:space="preserve">Grad Kastav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32" w:right="0" w:firstLine="0"/>
              <w:jc w:val="center"/>
            </w:pPr>
            <w:r>
              <w:t xml:space="preserve">10.440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11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Klana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1.975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94 </w:t>
            </w:r>
          </w:p>
        </w:tc>
      </w:tr>
      <w:tr w:rsidR="00B62D47">
        <w:trPr>
          <w:trHeight w:val="475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lastRenderedPageBreak/>
              <w:t xml:space="preserve">Grad Kraljevica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4.618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18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Kostrena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4.180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12 </w:t>
            </w:r>
          </w:p>
        </w:tc>
      </w:tr>
      <w:tr w:rsidR="00B62D47">
        <w:trPr>
          <w:trHeight w:val="475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Lovran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4.101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21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Matulji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32" w:right="0" w:firstLine="0"/>
              <w:jc w:val="center"/>
            </w:pPr>
            <w:r>
              <w:t xml:space="preserve">11.246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394" w:right="0" w:firstLine="0"/>
              <w:jc w:val="center"/>
            </w:pPr>
            <w:r>
              <w:t xml:space="preserve">176 </w:t>
            </w:r>
          </w:p>
        </w:tc>
      </w:tr>
      <w:tr w:rsidR="00B62D47">
        <w:trPr>
          <w:trHeight w:val="528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</w:t>
            </w:r>
            <w:proofErr w:type="spellStart"/>
            <w:r>
              <w:t>Moš</w:t>
            </w:r>
            <w:r>
              <w:t>ć</w:t>
            </w:r>
            <w:r>
              <w:t>eni</w:t>
            </w:r>
            <w:r>
              <w:t>č</w:t>
            </w:r>
            <w:r>
              <w:t>ka</w:t>
            </w:r>
            <w:proofErr w:type="spellEnd"/>
            <w:r>
              <w:t xml:space="preserve"> Draga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1.535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45 </w:t>
            </w:r>
          </w:p>
        </w:tc>
      </w:tr>
      <w:tr w:rsidR="00B62D47">
        <w:trPr>
          <w:trHeight w:val="473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Omišalj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654" w:right="0" w:firstLine="0"/>
              <w:jc w:val="center"/>
            </w:pPr>
            <w:r>
              <w:t xml:space="preserve">2.983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39 </w:t>
            </w:r>
          </w:p>
        </w:tc>
      </w:tr>
      <w:tr w:rsidR="00B62D47">
        <w:trPr>
          <w:trHeight w:val="475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 xml:space="preserve">Grad Opatija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32" w:right="0" w:firstLine="0"/>
              <w:jc w:val="center"/>
            </w:pPr>
            <w:r>
              <w:t xml:space="preserve">11.659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66 </w:t>
            </w:r>
          </w:p>
        </w:tc>
      </w:tr>
      <w:tr w:rsidR="00B62D47">
        <w:trPr>
          <w:trHeight w:val="479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01" w:right="0" w:firstLine="0"/>
              <w:jc w:val="left"/>
            </w:pPr>
            <w:r>
              <w:t>Op</w:t>
            </w:r>
            <w:r>
              <w:t>ć</w:t>
            </w:r>
            <w:r>
              <w:t xml:space="preserve">ina Viškovo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32" w:right="0" w:firstLine="0"/>
              <w:jc w:val="center"/>
            </w:pPr>
            <w:r>
              <w:t xml:space="preserve">14.445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516" w:right="0" w:firstLine="0"/>
              <w:jc w:val="center"/>
            </w:pPr>
            <w:r>
              <w:t xml:space="preserve">19 </w:t>
            </w:r>
          </w:p>
        </w:tc>
      </w:tr>
      <w:tr w:rsidR="00B62D47">
        <w:trPr>
          <w:trHeight w:val="468"/>
        </w:trPr>
        <w:tc>
          <w:tcPr>
            <w:tcW w:w="2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  UKUPNO 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  <w:vAlign w:val="center"/>
          </w:tcPr>
          <w:p w:rsidR="00B62D47" w:rsidRDefault="00803EC2">
            <w:pPr>
              <w:spacing w:after="0" w:line="259" w:lineRule="auto"/>
              <w:ind w:left="409" w:right="0" w:firstLine="0"/>
              <w:jc w:val="center"/>
            </w:pPr>
            <w:r>
              <w:rPr>
                <w:b/>
              </w:rPr>
              <w:t>216.649</w:t>
            </w:r>
            <w:r>
              <w:t xml:space="preserve"> </w:t>
            </w:r>
          </w:p>
        </w:tc>
        <w:tc>
          <w:tcPr>
            <w:tcW w:w="1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  <w:vAlign w:val="center"/>
          </w:tcPr>
          <w:p w:rsidR="00B62D47" w:rsidRDefault="00803EC2">
            <w:pPr>
              <w:spacing w:after="0" w:line="259" w:lineRule="auto"/>
              <w:ind w:left="394" w:right="0" w:firstLine="0"/>
              <w:jc w:val="center"/>
            </w:pPr>
            <w:r>
              <w:rPr>
                <w:b/>
              </w:rPr>
              <w:t>863</w:t>
            </w:r>
            <w:r>
              <w:t xml:space="preserve"> </w:t>
            </w:r>
          </w:p>
        </w:tc>
      </w:tr>
    </w:tbl>
    <w:p w:rsidR="00B62D47" w:rsidRDefault="00803EC2">
      <w:pPr>
        <w:spacing w:after="119" w:line="259" w:lineRule="auto"/>
        <w:ind w:left="10" w:right="7" w:hanging="10"/>
        <w:jc w:val="center"/>
      </w:pPr>
      <w:r>
        <w:rPr>
          <w:sz w:val="20"/>
        </w:rPr>
        <w:t>Izvor: http://www.dzs.hr i http://www.pgz.hr</w:t>
      </w:r>
      <w:r>
        <w:rPr>
          <w:rFonts w:ascii="Calibri" w:eastAsia="Calibri" w:hAnsi="Calibri" w:cs="Calibri"/>
          <w:sz w:val="20"/>
        </w:rPr>
        <w:t xml:space="preserve"> </w:t>
      </w:r>
    </w:p>
    <w:p w:rsidR="00B62D47" w:rsidRDefault="00803EC2">
      <w:pPr>
        <w:spacing w:after="98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ind w:left="-13" w:right="0"/>
      </w:pPr>
      <w:r>
        <w:t>Ukoliko se usporede podaci Primorsko-goranske županije (u nastavku: PGŽ) o broju stanovnika i površini s urbanom aglomeracijom Rijeka, dolazi se do podataka navedenih u sljede</w:t>
      </w:r>
      <w:r>
        <w:t>ć</w:t>
      </w:r>
      <w:r>
        <w:t xml:space="preserve">oj tablici. </w:t>
      </w:r>
    </w:p>
    <w:p w:rsidR="00B62D47" w:rsidRDefault="00803EC2">
      <w:pPr>
        <w:spacing w:after="98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0"/>
        <w:ind w:left="566" w:right="0" w:firstLine="0"/>
      </w:pPr>
      <w:r>
        <w:rPr>
          <w:b/>
        </w:rPr>
        <w:t>Tablica 5.</w:t>
      </w:r>
      <w:r>
        <w:t xml:space="preserve"> Usporedba urbane aglomeracije Rijeka  s PGŽ </w:t>
      </w:r>
    </w:p>
    <w:tbl>
      <w:tblPr>
        <w:tblStyle w:val="TableGrid"/>
        <w:tblW w:w="9288" w:type="dxa"/>
        <w:tblInd w:w="-108" w:type="dxa"/>
        <w:tblCellMar>
          <w:top w:w="48" w:type="dxa"/>
          <w:left w:w="108" w:type="dxa"/>
          <w:bottom w:w="0" w:type="dxa"/>
          <w:right w:w="47" w:type="dxa"/>
        </w:tblCellMar>
        <w:tblLook w:val="04A0" w:firstRow="1" w:lastRow="0" w:firstColumn="1" w:lastColumn="0" w:noHBand="0" w:noVBand="1"/>
      </w:tblPr>
      <w:tblGrid>
        <w:gridCol w:w="2271"/>
        <w:gridCol w:w="2222"/>
        <w:gridCol w:w="2477"/>
        <w:gridCol w:w="2318"/>
      </w:tblGrid>
      <w:tr w:rsidR="00B62D47">
        <w:trPr>
          <w:trHeight w:val="1022"/>
        </w:trPr>
        <w:tc>
          <w:tcPr>
            <w:tcW w:w="2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62" w:firstLine="0"/>
              <w:jc w:val="center"/>
            </w:pPr>
            <w:r>
              <w:rPr>
                <w:b/>
              </w:rPr>
              <w:t xml:space="preserve">Broj </w:t>
            </w: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center"/>
            </w:pPr>
            <w:proofErr w:type="spellStart"/>
            <w:r>
              <w:rPr>
                <w:b/>
              </w:rPr>
              <w:t>Primorskogoranska</w:t>
            </w:r>
            <w:proofErr w:type="spellEnd"/>
            <w:r>
              <w:rPr>
                <w:b/>
              </w:rPr>
              <w:t xml:space="preserve"> županija</w:t>
            </w:r>
            <w:r>
              <w:rPr>
                <w:b/>
              </w:rPr>
              <w:t xml:space="preserve"> 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center"/>
            </w:pPr>
            <w:r>
              <w:rPr>
                <w:b/>
              </w:rPr>
              <w:t xml:space="preserve">Urbana aglomeracija Rijeka 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40" w:lineRule="auto"/>
              <w:ind w:left="13" w:right="13" w:firstLine="0"/>
              <w:jc w:val="center"/>
            </w:pPr>
            <w:r>
              <w:rPr>
                <w:b/>
              </w:rPr>
              <w:t xml:space="preserve">Urbana aglomeracija Rijeka </w:t>
            </w:r>
          </w:p>
          <w:p w:rsidR="00B62D47" w:rsidRDefault="00803EC2">
            <w:pPr>
              <w:spacing w:after="0" w:line="259" w:lineRule="auto"/>
              <w:ind w:left="55" w:right="0" w:firstLine="0"/>
              <w:jc w:val="center"/>
            </w:pPr>
            <w:r>
              <w:rPr>
                <w:b/>
              </w:rPr>
              <w:t xml:space="preserve">u odnosu na PGŽ  </w:t>
            </w:r>
            <w:r>
              <w:t>(u %)</w:t>
            </w:r>
            <w:r>
              <w:rPr>
                <w:b/>
              </w:rPr>
              <w:t xml:space="preserve"> </w:t>
            </w:r>
          </w:p>
        </w:tc>
      </w:tr>
      <w:tr w:rsidR="00B62D47">
        <w:trPr>
          <w:trHeight w:val="463"/>
        </w:trPr>
        <w:tc>
          <w:tcPr>
            <w:tcW w:w="2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Gradova/Op</w:t>
            </w:r>
            <w:r>
              <w:t>ć</w:t>
            </w:r>
            <w:r>
              <w:t xml:space="preserve">ina </w:t>
            </w: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36 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63" w:firstLine="0"/>
              <w:jc w:val="center"/>
            </w:pPr>
            <w:r>
              <w:t xml:space="preserve">14 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38,9 </w:t>
            </w:r>
          </w:p>
        </w:tc>
      </w:tr>
      <w:tr w:rsidR="00B62D47">
        <w:trPr>
          <w:trHeight w:val="516"/>
        </w:trPr>
        <w:tc>
          <w:tcPr>
            <w:tcW w:w="2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Stanovnika (prema Popisu iz 2011.g.) </w:t>
            </w: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296.123 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63" w:firstLine="0"/>
              <w:jc w:val="center"/>
            </w:pPr>
            <w:r>
              <w:t xml:space="preserve">216.649  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73,2 </w:t>
            </w:r>
          </w:p>
        </w:tc>
      </w:tr>
      <w:tr w:rsidR="00B62D47">
        <w:trPr>
          <w:trHeight w:val="466"/>
        </w:trPr>
        <w:tc>
          <w:tcPr>
            <w:tcW w:w="2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>Površina (u km</w:t>
            </w:r>
            <w:r>
              <w:rPr>
                <w:vertAlign w:val="superscript"/>
              </w:rPr>
              <w:t>2</w:t>
            </w:r>
            <w:r>
              <w:t xml:space="preserve">) </w:t>
            </w: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61" w:firstLine="0"/>
              <w:jc w:val="center"/>
            </w:pPr>
            <w:r>
              <w:t xml:space="preserve">863 </w:t>
            </w:r>
          </w:p>
        </w:tc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3.588 </w:t>
            </w: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59" w:firstLine="0"/>
              <w:jc w:val="center"/>
            </w:pPr>
            <w:r>
              <w:t xml:space="preserve">24,1 </w:t>
            </w:r>
          </w:p>
        </w:tc>
      </w:tr>
    </w:tbl>
    <w:p w:rsidR="00B62D47" w:rsidRDefault="00803EC2">
      <w:pPr>
        <w:spacing w:after="119" w:line="259" w:lineRule="auto"/>
        <w:ind w:left="10" w:right="8" w:hanging="10"/>
        <w:jc w:val="center"/>
      </w:pPr>
      <w:r>
        <w:rPr>
          <w:sz w:val="20"/>
        </w:rPr>
        <w:t xml:space="preserve">Izvor: Grad Rijeka </w:t>
      </w:r>
    </w:p>
    <w:p w:rsidR="00B62D47" w:rsidRDefault="00803EC2">
      <w:pPr>
        <w:spacing w:after="0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31"/>
        <w:ind w:left="-13" w:right="0"/>
      </w:pPr>
      <w:r>
        <w:t>Iz prostorno-planskih analiza, koje su prezentirane u prethodno navedenim slikama i tablicama, dokazuje se da ve</w:t>
      </w:r>
      <w:r>
        <w:t>ć</w:t>
      </w:r>
      <w:r>
        <w:t xml:space="preserve"> postoji odre</w:t>
      </w:r>
      <w:r>
        <w:t>đ</w:t>
      </w:r>
      <w:r>
        <w:t>ena funkcionalna cjelina kojeg se lokalno naziva Rije</w:t>
      </w:r>
      <w:r>
        <w:t>č</w:t>
      </w:r>
      <w:r>
        <w:t>kim prstenom, a zapravo se radi o prostoru rije</w:t>
      </w:r>
      <w:r>
        <w:t>č</w:t>
      </w:r>
      <w:r>
        <w:t>ke ag</w:t>
      </w:r>
      <w:r>
        <w:t>lomeracije. Zapravo se radi o urbanom prostoru oko Rijeke, kojeg Zakon o regionalnom razvoju definira urbanom aglomeracijom Rijeka, a na kojem živi 216.649 stanovnika na površini od 869 km</w:t>
      </w:r>
      <w:r>
        <w:rPr>
          <w:vertAlign w:val="superscript"/>
        </w:rPr>
        <w:t>2</w:t>
      </w:r>
      <w:r>
        <w:t>. Kao što je navedeno u tablici 5., urbana aglomeracija Rijeka obuh</w:t>
      </w:r>
      <w:r>
        <w:t>va</w:t>
      </w:r>
      <w:r>
        <w:t>ć</w:t>
      </w:r>
      <w:r>
        <w:t xml:space="preserve">ala bi 38,9% jedinica lokalne samouprave koje </w:t>
      </w:r>
      <w:r>
        <w:t>č</w:t>
      </w:r>
      <w:r>
        <w:t xml:space="preserve">ine PGŽ, tako da  bi urbana aglomeracija Rijeka imala 73,2% stanovnika i 24,1% površine PGŽ. </w:t>
      </w:r>
    </w:p>
    <w:p w:rsidR="00B62D47" w:rsidRDefault="00803EC2">
      <w:pPr>
        <w:ind w:left="-13" w:right="0"/>
      </w:pPr>
      <w:r>
        <w:t>Kao što je prethodno navedeno, suradnja svih gradova i op</w:t>
      </w:r>
      <w:r>
        <w:t>ć</w:t>
      </w:r>
      <w:r>
        <w:t>ina urbane aglomeracije Rijeka treba se temeljiti na d</w:t>
      </w:r>
      <w:r>
        <w:t>osadašnjim iskustvima u suradnji, te zajedni</w:t>
      </w:r>
      <w:r>
        <w:t>č</w:t>
      </w:r>
      <w:r>
        <w:t xml:space="preserve">kom razvojnom </w:t>
      </w:r>
      <w:r>
        <w:lastRenderedPageBreak/>
        <w:t xml:space="preserve">konceptu. Upravo takva suradnja na tragu je europske politike u stvaranju partnerstva na regionalnoj razini, a što </w:t>
      </w:r>
      <w:r>
        <w:t>ć</w:t>
      </w:r>
      <w:r>
        <w:t>e do</w:t>
      </w:r>
      <w:r>
        <w:t>ć</w:t>
      </w:r>
      <w:r>
        <w:t xml:space="preserve">i do punog izražaja pri kandidiranju projekata za EU-fondove. </w:t>
      </w:r>
    </w:p>
    <w:p w:rsidR="00B62D47" w:rsidRDefault="00803EC2">
      <w:pPr>
        <w:spacing w:after="138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13" w:line="252" w:lineRule="auto"/>
        <w:ind w:left="1065" w:right="0" w:hanging="514"/>
        <w:jc w:val="left"/>
      </w:pPr>
      <w:r>
        <w:rPr>
          <w:b/>
        </w:rPr>
        <w:t xml:space="preserve">4. </w:t>
      </w:r>
      <w:r>
        <w:rPr>
          <w:b/>
        </w:rPr>
        <w:tab/>
        <w:t xml:space="preserve">Integrirani pristup teritorijalnom razvoju – mogućnosti korištenju </w:t>
      </w:r>
      <w:proofErr w:type="spellStart"/>
      <w:r>
        <w:rPr>
          <w:b/>
        </w:rPr>
        <w:t>EUfondova</w:t>
      </w:r>
      <w:proofErr w:type="spellEnd"/>
      <w:r>
        <w:rPr>
          <w:b/>
        </w:rPr>
        <w:t xml:space="preserve"> u Republici Hrvatskoj u razdoblju 2014.-2020. </w:t>
      </w:r>
    </w:p>
    <w:p w:rsidR="00B62D47" w:rsidRDefault="00803EC2">
      <w:pPr>
        <w:spacing w:after="98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27"/>
        <w:ind w:left="-13" w:right="0"/>
      </w:pPr>
      <w:r>
        <w:t>Zbog ekonomske krize na globalnoj razini, Europska unija preispitala je svoje ciljeve te utvrdila nove prioritete razvoja s ob</w:t>
      </w:r>
      <w:r>
        <w:t>zirom na promjenu op</w:t>
      </w:r>
      <w:r>
        <w:t>ć</w:t>
      </w:r>
      <w:r>
        <w:t xml:space="preserve">ih okolnosti. Europska komisija je donijela </w:t>
      </w:r>
      <w:r>
        <w:rPr>
          <w:b/>
        </w:rPr>
        <w:t>strategiju</w:t>
      </w:r>
      <w:r>
        <w:rPr>
          <w:b/>
          <w:i/>
        </w:rPr>
        <w:t xml:space="preserve"> Europa 2020</w:t>
      </w:r>
      <w:r>
        <w:t xml:space="preserve"> kojom iznosi viziju europske socijalne tržišne ekonomije tijekom idu</w:t>
      </w:r>
      <w:r>
        <w:t>ć</w:t>
      </w:r>
      <w:r>
        <w:t>eg desetlje</w:t>
      </w:r>
      <w:r>
        <w:t>ć</w:t>
      </w:r>
      <w:r>
        <w:t>a te po</w:t>
      </w:r>
      <w:r>
        <w:t>č</w:t>
      </w:r>
      <w:r>
        <w:t>iva na tri me</w:t>
      </w:r>
      <w:r>
        <w:t>đ</w:t>
      </w:r>
      <w:r>
        <w:t>usobno povezana podru</w:t>
      </w:r>
      <w:r>
        <w:t>č</w:t>
      </w:r>
      <w:r>
        <w:t>ja prioriteta koja se me</w:t>
      </w:r>
      <w:r>
        <w:t>đ</w:t>
      </w:r>
      <w:r>
        <w:t xml:space="preserve">usobno podupiru: </w:t>
      </w:r>
    </w:p>
    <w:p w:rsidR="00B62D47" w:rsidRDefault="00803EC2">
      <w:pPr>
        <w:numPr>
          <w:ilvl w:val="0"/>
          <w:numId w:val="1"/>
        </w:numPr>
        <w:spacing w:after="121"/>
        <w:ind w:left="993" w:right="0" w:hanging="427"/>
      </w:pPr>
      <w:r>
        <w:rPr>
          <w:b/>
        </w:rPr>
        <w:t>pametan rast</w:t>
      </w:r>
      <w:r>
        <w:t xml:space="preserve"> (</w:t>
      </w:r>
      <w:r>
        <w:t>č</w:t>
      </w:r>
      <w:r>
        <w:t>ime se poti</w:t>
      </w:r>
      <w:r>
        <w:t>č</w:t>
      </w:r>
      <w:r>
        <w:t xml:space="preserve">u znanje, inovacije, obrazovanje i digitalno društvo), </w:t>
      </w:r>
    </w:p>
    <w:p w:rsidR="00B62D47" w:rsidRDefault="00803EC2">
      <w:pPr>
        <w:numPr>
          <w:ilvl w:val="0"/>
          <w:numId w:val="1"/>
        </w:numPr>
        <w:spacing w:after="124"/>
        <w:ind w:left="993" w:right="0" w:hanging="427"/>
      </w:pPr>
      <w:r>
        <w:rPr>
          <w:b/>
        </w:rPr>
        <w:t>održiv rast</w:t>
      </w:r>
      <w:r>
        <w:t xml:space="preserve"> (</w:t>
      </w:r>
      <w:r>
        <w:t>č</w:t>
      </w:r>
      <w:r>
        <w:t xml:space="preserve">ime </w:t>
      </w:r>
      <w:r>
        <w:t>ć</w:t>
      </w:r>
      <w:r>
        <w:t>e naša proizvodnja postati u</w:t>
      </w:r>
      <w:r>
        <w:t>č</w:t>
      </w:r>
      <w:r>
        <w:t>inkovitija u iskorištavanju resursa, uz istovremeno pove</w:t>
      </w:r>
      <w:r>
        <w:t>ć</w:t>
      </w:r>
      <w:r>
        <w:t xml:space="preserve">anje konkurentnosti) i </w:t>
      </w:r>
    </w:p>
    <w:p w:rsidR="00B62D47" w:rsidRDefault="00803EC2">
      <w:pPr>
        <w:numPr>
          <w:ilvl w:val="0"/>
          <w:numId w:val="1"/>
        </w:numPr>
        <w:ind w:left="993" w:right="0" w:hanging="427"/>
      </w:pPr>
      <w:r>
        <w:rPr>
          <w:b/>
        </w:rPr>
        <w:t>uključiv rast</w:t>
      </w:r>
      <w:r>
        <w:t xml:space="preserve"> (pove</w:t>
      </w:r>
      <w:r>
        <w:t>ć</w:t>
      </w:r>
      <w:r>
        <w:t xml:space="preserve">anjem sudjelovanja na tržištu rada, stjecanjem vještina te borbom protiv siromaštva). </w:t>
      </w:r>
    </w:p>
    <w:p w:rsidR="00B62D47" w:rsidRDefault="00803EC2">
      <w:pPr>
        <w:spacing w:after="95" w:line="259" w:lineRule="auto"/>
        <w:ind w:left="540" w:right="0" w:firstLine="0"/>
        <w:jc w:val="left"/>
      </w:pPr>
      <w:r>
        <w:t xml:space="preserve"> </w:t>
      </w:r>
    </w:p>
    <w:p w:rsidR="00B62D47" w:rsidRDefault="00803EC2">
      <w:pPr>
        <w:ind w:left="540" w:right="0" w:firstLine="0"/>
      </w:pPr>
      <w:r>
        <w:rPr>
          <w:b/>
        </w:rPr>
        <w:t>Tablica 6.</w:t>
      </w:r>
      <w:r>
        <w:t xml:space="preserve"> </w:t>
      </w:r>
      <w:r>
        <w:rPr>
          <w:i/>
        </w:rPr>
        <w:t>Europa 2020</w:t>
      </w:r>
      <w:r>
        <w:t xml:space="preserve">  - ciljevi i inicijative </w:t>
      </w:r>
    </w:p>
    <w:p w:rsidR="00B62D47" w:rsidRDefault="00803EC2">
      <w:pPr>
        <w:spacing w:after="0" w:line="259" w:lineRule="auto"/>
        <w:ind w:left="540" w:right="0" w:firstLine="0"/>
        <w:jc w:val="left"/>
      </w:pPr>
      <w:r>
        <w:t xml:space="preserve"> </w:t>
      </w:r>
    </w:p>
    <w:tbl>
      <w:tblPr>
        <w:tblStyle w:val="TableGrid"/>
        <w:tblW w:w="8100" w:type="dxa"/>
        <w:tblInd w:w="540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700"/>
        <w:gridCol w:w="2844"/>
        <w:gridCol w:w="2556"/>
      </w:tblGrid>
      <w:tr w:rsidR="00B62D47">
        <w:trPr>
          <w:trHeight w:val="516"/>
        </w:trPr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PAMETAN RAST </w:t>
            </w:r>
          </w:p>
        </w:tc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ODRŽIV RAST </w:t>
            </w:r>
          </w:p>
        </w:tc>
        <w:tc>
          <w:tcPr>
            <w:tcW w:w="2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UKLJUČIV RAST </w:t>
            </w:r>
          </w:p>
        </w:tc>
      </w:tr>
      <w:tr w:rsidR="00B62D47">
        <w:trPr>
          <w:trHeight w:val="718"/>
        </w:trPr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INOVACIJE </w:t>
            </w:r>
          </w:p>
        </w:tc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KLIMA, ENERGETIKA I MOBILNOST </w:t>
            </w:r>
          </w:p>
        </w:tc>
        <w:tc>
          <w:tcPr>
            <w:tcW w:w="2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ZAPOŠLJAVANJE I VJEŠTINE </w:t>
            </w:r>
          </w:p>
        </w:tc>
      </w:tr>
      <w:tr w:rsidR="00B62D47">
        <w:trPr>
          <w:trHeight w:val="722"/>
        </w:trPr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OBRAZOVANJE </w:t>
            </w:r>
          </w:p>
        </w:tc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KONKURENTNOST </w:t>
            </w:r>
          </w:p>
        </w:tc>
        <w:tc>
          <w:tcPr>
            <w:tcW w:w="2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BORBA PROTIV SIROMAŠTVA </w:t>
            </w:r>
          </w:p>
        </w:tc>
      </w:tr>
      <w:tr w:rsidR="00B62D47">
        <w:trPr>
          <w:trHeight w:val="715"/>
        </w:trPr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DIGITALNO DRUŠTVO </w:t>
            </w:r>
          </w:p>
        </w:tc>
        <w:tc>
          <w:tcPr>
            <w:tcW w:w="2844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B62D47" w:rsidRDefault="00B62D47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5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B62D47" w:rsidRDefault="00B62D47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B62D47" w:rsidRDefault="00803EC2">
      <w:pPr>
        <w:spacing w:after="119" w:line="259" w:lineRule="auto"/>
        <w:ind w:left="10" w:right="10" w:hanging="10"/>
        <w:jc w:val="center"/>
      </w:pPr>
      <w:r>
        <w:rPr>
          <w:sz w:val="20"/>
        </w:rPr>
        <w:t xml:space="preserve">Izvor: http://www.mobilnost.hr/prilozi/05_1300804774_Europa_2020.pdf </w:t>
      </w:r>
    </w:p>
    <w:p w:rsidR="00B62D47" w:rsidRDefault="00803EC2">
      <w:pPr>
        <w:spacing w:after="141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31"/>
        <w:ind w:left="-13" w:right="0"/>
      </w:pPr>
      <w:r>
        <w:t>Drugim rije</w:t>
      </w:r>
      <w:r>
        <w:t>č</w:t>
      </w:r>
      <w:r>
        <w:t>ima, svi projekti se kandidiraju za EU-sredstva moraju doprinijeti ostvarenju ciljeva koje predvi</w:t>
      </w:r>
      <w:r>
        <w:t>đ</w:t>
      </w:r>
      <w:r>
        <w:t xml:space="preserve">a </w:t>
      </w:r>
      <w:r>
        <w:rPr>
          <w:b/>
        </w:rPr>
        <w:t>strategija Europa 2020</w:t>
      </w:r>
      <w:r>
        <w:t xml:space="preserve">.  </w:t>
      </w:r>
    </w:p>
    <w:p w:rsidR="00B62D47" w:rsidRDefault="00803EC2">
      <w:pPr>
        <w:ind w:left="-13" w:right="0"/>
      </w:pPr>
      <w:r>
        <w:t>Zbog promjena na globalnom tržištu, Europska unija prvenstveno mora pove</w:t>
      </w:r>
      <w:r>
        <w:t>ć</w:t>
      </w:r>
      <w:r>
        <w:t>ati konkurentnost. Pove</w:t>
      </w:r>
      <w:r>
        <w:t>ć</w:t>
      </w:r>
      <w:r>
        <w:t>anje konkurentnost predstavlja te</w:t>
      </w:r>
      <w:r>
        <w:t xml:space="preserve">meljni cilj i za Republiku Hrvatsku, kao novu </w:t>
      </w:r>
      <w:r>
        <w:t>č</w:t>
      </w:r>
      <w:r>
        <w:t>lanicu Europske unije, iako to zna</w:t>
      </w:r>
      <w:r>
        <w:t>č</w:t>
      </w:r>
      <w:r>
        <w:t xml:space="preserve">i dodatne prilagodbe strateškim ciljevima EU.  </w:t>
      </w:r>
    </w:p>
    <w:p w:rsidR="00B62D47" w:rsidRDefault="00803EC2">
      <w:pPr>
        <w:spacing w:after="128"/>
        <w:ind w:left="-13" w:right="0"/>
      </w:pPr>
      <w:r>
        <w:t>Regionalna politika je jedna od politika kojima se nastoji posti</w:t>
      </w:r>
      <w:r>
        <w:t>ć</w:t>
      </w:r>
      <w:r>
        <w:t>i ve</w:t>
      </w:r>
      <w:r>
        <w:t>ć</w:t>
      </w:r>
      <w:r>
        <w:t>a konkurentnost i u</w:t>
      </w:r>
      <w:r>
        <w:t>č</w:t>
      </w:r>
      <w:r>
        <w:t xml:space="preserve">inkovitost na razini EU.  </w:t>
      </w:r>
    </w:p>
    <w:p w:rsidR="00B62D47" w:rsidRDefault="00803EC2">
      <w:pPr>
        <w:spacing w:after="128"/>
        <w:ind w:left="-13" w:right="0"/>
      </w:pPr>
      <w:r>
        <w:t>Podaci po</w:t>
      </w:r>
      <w:r>
        <w:t>kazuju da oko 70% stanovništva EU živi u urbanim podru</w:t>
      </w:r>
      <w:r>
        <w:t>č</w:t>
      </w:r>
      <w:r>
        <w:t>jima. Tako</w:t>
      </w:r>
      <w:r>
        <w:t>đ</w:t>
      </w:r>
      <w:r>
        <w:t>er, prema dostupnim podacima, urbana podru</w:t>
      </w:r>
      <w:r>
        <w:t>č</w:t>
      </w:r>
      <w:r>
        <w:t>ja su središte europskog gospodarstva. Istodobno, urbana podru</w:t>
      </w:r>
      <w:r>
        <w:t>č</w:t>
      </w:r>
      <w:r>
        <w:t>ja se susre</w:t>
      </w:r>
      <w:r>
        <w:t>ć</w:t>
      </w:r>
      <w:r>
        <w:t xml:space="preserve">u s raznim problemima – ekonomskim, ekološkim, klimatskim, društvenim i </w:t>
      </w:r>
      <w:r>
        <w:t>demografskim. Stoga se daljnji urbani razvoj može posti</w:t>
      </w:r>
      <w:r>
        <w:t>ć</w:t>
      </w:r>
      <w:r>
        <w:t xml:space="preserve">i samo putem </w:t>
      </w:r>
      <w:r>
        <w:rPr>
          <w:i/>
        </w:rPr>
        <w:t>integriranog pristupa teritorijalnom razvoju</w:t>
      </w:r>
      <w:r>
        <w:t xml:space="preserve">. </w:t>
      </w:r>
    </w:p>
    <w:p w:rsidR="00B62D47" w:rsidRDefault="00803EC2">
      <w:pPr>
        <w:ind w:left="-13" w:right="0"/>
      </w:pPr>
      <w:r>
        <w:lastRenderedPageBreak/>
        <w:t>Takav pristup potvr</w:t>
      </w:r>
      <w:r>
        <w:t>đ</w:t>
      </w:r>
      <w:r>
        <w:t xml:space="preserve">uje </w:t>
      </w:r>
      <w:proofErr w:type="spellStart"/>
      <w:r>
        <w:rPr>
          <w:i/>
        </w:rPr>
        <w:t>Lisabonski</w:t>
      </w:r>
      <w:proofErr w:type="spellEnd"/>
      <w:r>
        <w:rPr>
          <w:i/>
        </w:rPr>
        <w:t xml:space="preserve"> sporazum</w:t>
      </w:r>
      <w:r>
        <w:t xml:space="preserve"> u kojem je navedeno da gospodarsku i društvenu uskla</w:t>
      </w:r>
      <w:r>
        <w:t>đ</w:t>
      </w:r>
      <w:r>
        <w:t>enost na europskoj razini nije mogu</w:t>
      </w:r>
      <w:r>
        <w:t>ć</w:t>
      </w:r>
      <w:r>
        <w:t>e posti</w:t>
      </w:r>
      <w:r>
        <w:t>ć</w:t>
      </w:r>
      <w:r>
        <w:t>i bez ve</w:t>
      </w:r>
      <w:r>
        <w:t>ć</w:t>
      </w:r>
      <w:r>
        <w:t>e usredoto</w:t>
      </w:r>
      <w:r>
        <w:t>č</w:t>
      </w:r>
      <w:r>
        <w:t>enosti na teritorijalni u</w:t>
      </w:r>
      <w:r>
        <w:t>č</w:t>
      </w:r>
      <w:r>
        <w:t xml:space="preserve">inak politika EU-a.  </w:t>
      </w:r>
    </w:p>
    <w:p w:rsidR="00B62D47" w:rsidRDefault="00803EC2">
      <w:pPr>
        <w:spacing w:after="131"/>
        <w:ind w:left="-13" w:right="0"/>
      </w:pPr>
      <w:r>
        <w:t xml:space="preserve">EU je za razdoblje 2014.-2020. unutar Europskog strukturnog i investicijskog fonda (u nastavku: ESI-fondovi) predvidjela posebne teritorijalne instrumente: </w:t>
      </w:r>
    </w:p>
    <w:p w:rsidR="00B62D47" w:rsidRDefault="00803EC2">
      <w:pPr>
        <w:numPr>
          <w:ilvl w:val="0"/>
          <w:numId w:val="2"/>
        </w:numPr>
        <w:ind w:left="993" w:right="0" w:hanging="427"/>
      </w:pPr>
      <w:r>
        <w:t>Integrirane teritorijalne inve</w:t>
      </w:r>
      <w:r>
        <w:t xml:space="preserve">sticije (engleski: </w:t>
      </w:r>
      <w:r>
        <w:rPr>
          <w:i/>
        </w:rPr>
        <w:t xml:space="preserve">ITI - </w:t>
      </w:r>
      <w:proofErr w:type="spellStart"/>
      <w:r>
        <w:rPr>
          <w:i/>
        </w:rPr>
        <w:t>Integrated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teritorial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investments</w:t>
      </w:r>
      <w:proofErr w:type="spellEnd"/>
      <w:r>
        <w:t xml:space="preserve">), </w:t>
      </w:r>
    </w:p>
    <w:p w:rsidR="00B62D47" w:rsidRDefault="00803EC2">
      <w:pPr>
        <w:numPr>
          <w:ilvl w:val="0"/>
          <w:numId w:val="2"/>
        </w:numPr>
        <w:ind w:left="993" w:right="0" w:hanging="427"/>
      </w:pPr>
      <w:r>
        <w:t xml:space="preserve">Održivi urbani razvoj (engleski: </w:t>
      </w:r>
      <w:proofErr w:type="spellStart"/>
      <w:r>
        <w:rPr>
          <w:i/>
        </w:rPr>
        <w:t>Sustainable</w:t>
      </w:r>
      <w:proofErr w:type="spellEnd"/>
      <w:r>
        <w:rPr>
          <w:i/>
        </w:rPr>
        <w:t xml:space="preserve"> urban development</w:t>
      </w:r>
      <w:r>
        <w:t xml:space="preserve">) i </w:t>
      </w:r>
    </w:p>
    <w:p w:rsidR="00B62D47" w:rsidRDefault="00803EC2">
      <w:pPr>
        <w:numPr>
          <w:ilvl w:val="0"/>
          <w:numId w:val="2"/>
        </w:numPr>
        <w:spacing w:after="109" w:line="249" w:lineRule="auto"/>
        <w:ind w:left="993" w:right="0" w:hanging="427"/>
      </w:pPr>
      <w:r>
        <w:t>Razvoj upravljan od lokalne zajednice (</w:t>
      </w:r>
      <w:r>
        <w:rPr>
          <w:i/>
        </w:rPr>
        <w:t xml:space="preserve">engleski: CLLD – </w:t>
      </w:r>
      <w:proofErr w:type="spellStart"/>
      <w:r>
        <w:rPr>
          <w:i/>
        </w:rPr>
        <w:t>Community</w:t>
      </w:r>
      <w:proofErr w:type="spellEnd"/>
      <w:r>
        <w:rPr>
          <w:i/>
        </w:rPr>
        <w:t xml:space="preserve">-led </w:t>
      </w:r>
      <w:proofErr w:type="spellStart"/>
      <w:r>
        <w:rPr>
          <w:i/>
        </w:rPr>
        <w:t>local</w:t>
      </w:r>
      <w:proofErr w:type="spellEnd"/>
      <w:r>
        <w:rPr>
          <w:i/>
        </w:rPr>
        <w:t xml:space="preserve"> development</w:t>
      </w:r>
      <w:r>
        <w:t xml:space="preserve">). </w:t>
      </w:r>
    </w:p>
    <w:p w:rsidR="00B62D47" w:rsidRDefault="00803EC2">
      <w:pPr>
        <w:spacing w:after="100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ind w:left="-13" w:right="0"/>
      </w:pPr>
      <w:r>
        <w:t>Ukupna raspoloživa sredstva iz ESI</w:t>
      </w:r>
      <w:r>
        <w:t>-fondova za Republiku Hrvatsku u financijskom razdoblju 2014.-2020. iznose 10.676 milijardi EUR. Od tog iznosa 8.397 milijardi EUR predvi</w:t>
      </w:r>
      <w:r>
        <w:t>đ</w:t>
      </w:r>
      <w:r>
        <w:t>eno je za ciljeve kohezijske politike, kao i 2.026 milijarde EUR za poljoprivredu i ruralni razvoj te 253 milijuna EUR</w:t>
      </w:r>
      <w:r>
        <w:t xml:space="preserve"> za razvoj ribarstva. Detaljniji podaci se navode se u tablici 7. </w:t>
      </w:r>
    </w:p>
    <w:p w:rsidR="00B62D47" w:rsidRDefault="00803EC2">
      <w:pPr>
        <w:spacing w:after="95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0"/>
        <w:ind w:left="566" w:right="0" w:firstLine="0"/>
      </w:pPr>
      <w:r>
        <w:rPr>
          <w:b/>
        </w:rPr>
        <w:t xml:space="preserve">Tablica 7. </w:t>
      </w:r>
      <w:r>
        <w:t xml:space="preserve">ESI-fondovi za Republiku Hrvatsku u financijskom razdoblju 2014.-2020. godine </w:t>
      </w:r>
    </w:p>
    <w:tbl>
      <w:tblPr>
        <w:tblStyle w:val="TableGrid"/>
        <w:tblW w:w="8722" w:type="dxa"/>
        <w:tblInd w:w="175" w:type="dxa"/>
        <w:tblCellMar>
          <w:top w:w="48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5638"/>
        <w:gridCol w:w="3084"/>
      </w:tblGrid>
      <w:tr w:rsidR="00B62D47">
        <w:trPr>
          <w:trHeight w:val="516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9" w:right="0" w:firstLine="0"/>
              <w:jc w:val="center"/>
            </w:pPr>
            <w:r>
              <w:rPr>
                <w:b/>
              </w:rPr>
              <w:t xml:space="preserve">ESI-fondovi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2D47" w:rsidRDefault="00803EC2">
            <w:pPr>
              <w:spacing w:after="0" w:line="259" w:lineRule="auto"/>
              <w:ind w:left="2" w:right="0" w:firstLine="0"/>
              <w:jc w:val="center"/>
            </w:pPr>
            <w:r>
              <w:rPr>
                <w:b/>
              </w:rPr>
              <w:t xml:space="preserve">Raspoloživa sredstva </w:t>
            </w:r>
            <w:r>
              <w:t>(EUR)</w:t>
            </w:r>
            <w:r>
              <w:rPr>
                <w:b/>
              </w:rPr>
              <w:t xml:space="preserve"> </w:t>
            </w:r>
          </w:p>
        </w:tc>
      </w:tr>
      <w:tr w:rsidR="00B62D47">
        <w:trPr>
          <w:trHeight w:val="466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Europski fond za regionalni razvoj (EFRR)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102" w:right="0" w:firstLine="0"/>
              <w:jc w:val="left"/>
            </w:pPr>
            <w:r>
              <w:t xml:space="preserve">4.321.499.588 </w:t>
            </w:r>
          </w:p>
        </w:tc>
      </w:tr>
      <w:tr w:rsidR="00B62D47">
        <w:trPr>
          <w:trHeight w:val="463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Kohezijski fond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102" w:right="0" w:firstLine="0"/>
              <w:jc w:val="left"/>
            </w:pPr>
            <w:r>
              <w:t xml:space="preserve">2.559.545.971 </w:t>
            </w:r>
          </w:p>
        </w:tc>
      </w:tr>
      <w:tr w:rsidR="00B62D47">
        <w:trPr>
          <w:trHeight w:val="463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Europski socijalni fond (ESF)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102" w:right="0" w:firstLine="0"/>
              <w:jc w:val="left"/>
            </w:pPr>
            <w:r>
              <w:t xml:space="preserve">1.516.033.073 </w:t>
            </w:r>
          </w:p>
        </w:tc>
      </w:tr>
      <w:tr w:rsidR="00B62D47">
        <w:trPr>
          <w:trHeight w:val="466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Europski poljoprivredni fond za ruralni razvoj (EPFRR)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102" w:right="0" w:firstLine="0"/>
              <w:jc w:val="left"/>
            </w:pPr>
            <w:r>
              <w:t xml:space="preserve">2.026.222.500 </w:t>
            </w:r>
          </w:p>
        </w:tc>
      </w:tr>
      <w:tr w:rsidR="00B62D47">
        <w:trPr>
          <w:trHeight w:val="463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t xml:space="preserve">Europski fond za pomorstvo i ribarstvo (EFPR)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1102" w:right="0" w:firstLine="0"/>
              <w:jc w:val="left"/>
            </w:pPr>
            <w:r>
              <w:t xml:space="preserve">   252.643.138 </w:t>
            </w:r>
          </w:p>
        </w:tc>
      </w:tr>
      <w:tr w:rsidR="00B62D47">
        <w:trPr>
          <w:trHeight w:val="463"/>
        </w:trPr>
        <w:tc>
          <w:tcPr>
            <w:tcW w:w="5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UKUPNO 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2D47" w:rsidRDefault="00803EC2">
            <w:pPr>
              <w:spacing w:after="0" w:line="259" w:lineRule="auto"/>
              <w:ind w:left="979" w:right="0" w:firstLine="0"/>
              <w:jc w:val="left"/>
            </w:pPr>
            <w:r>
              <w:rPr>
                <w:b/>
              </w:rPr>
              <w:t xml:space="preserve">10.675.944.270 </w:t>
            </w:r>
          </w:p>
        </w:tc>
      </w:tr>
    </w:tbl>
    <w:p w:rsidR="00B62D47" w:rsidRDefault="00803EC2">
      <w:pPr>
        <w:spacing w:after="138" w:line="242" w:lineRule="auto"/>
        <w:ind w:left="309" w:right="0" w:hanging="2"/>
        <w:jc w:val="left"/>
      </w:pPr>
      <w:r>
        <w:rPr>
          <w:sz w:val="20"/>
        </w:rPr>
        <w:t>Izvor: Sporazum o partnerstvu izme</w:t>
      </w:r>
      <w:r>
        <w:rPr>
          <w:sz w:val="20"/>
        </w:rPr>
        <w:t>đ</w:t>
      </w:r>
      <w:r>
        <w:rPr>
          <w:sz w:val="20"/>
        </w:rPr>
        <w:t xml:space="preserve">u Republike Hrvatske i Europske komisije za korištenje EU strukturnih i investicijskih fondova za </w:t>
      </w:r>
      <w:proofErr w:type="spellStart"/>
      <w:r>
        <w:rPr>
          <w:sz w:val="20"/>
        </w:rPr>
        <w:t>ras</w:t>
      </w:r>
      <w:proofErr w:type="spellEnd"/>
      <w:r>
        <w:rPr>
          <w:sz w:val="20"/>
        </w:rPr>
        <w:t xml:space="preserve"> i radna mjesta u razdoblju 2014.-2020., www.mrrfeu.hr </w:t>
      </w:r>
    </w:p>
    <w:p w:rsidR="00B62D47" w:rsidRDefault="00803EC2">
      <w:pPr>
        <w:spacing w:after="139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33"/>
        <w:ind w:left="-13" w:right="0"/>
      </w:pPr>
      <w:r>
        <w:t>Svaka država-</w:t>
      </w:r>
      <w:r>
        <w:t>č</w:t>
      </w:r>
      <w:r>
        <w:t xml:space="preserve">lanica EU treba rezervirati najmanje </w:t>
      </w:r>
      <w:r>
        <w:rPr>
          <w:b/>
        </w:rPr>
        <w:t>5% sredsta</w:t>
      </w:r>
      <w:r>
        <w:rPr>
          <w:b/>
        </w:rPr>
        <w:t>va iz Europskog fonda za regionalni razvoj</w:t>
      </w:r>
      <w:r>
        <w:t xml:space="preserve"> za održivi urbani razvoj temeljen na integriranim strateškim dokumentima te voditi ra</w:t>
      </w:r>
      <w:r>
        <w:t>č</w:t>
      </w:r>
      <w:r>
        <w:t xml:space="preserve">una o povezivanju grada s okolnim prostorom. </w:t>
      </w:r>
    </w:p>
    <w:p w:rsidR="00B62D47" w:rsidRDefault="00803EC2">
      <w:pPr>
        <w:spacing w:after="144"/>
        <w:ind w:left="566" w:right="0" w:firstLine="0"/>
      </w:pPr>
      <w:r>
        <w:t>Osnovna na</w:t>
      </w:r>
      <w:r>
        <w:t>č</w:t>
      </w:r>
      <w:r>
        <w:t xml:space="preserve">ela teritorijalnog razvoja iz ESI-fondova su:  </w:t>
      </w:r>
    </w:p>
    <w:p w:rsidR="00B62D47" w:rsidRDefault="00803EC2">
      <w:pPr>
        <w:numPr>
          <w:ilvl w:val="0"/>
          <w:numId w:val="3"/>
        </w:numPr>
        <w:ind w:left="993" w:right="0" w:hanging="427"/>
      </w:pPr>
      <w:r>
        <w:t>Promicati ujedna</w:t>
      </w:r>
      <w:r>
        <w:t>č</w:t>
      </w:r>
      <w:r>
        <w:t xml:space="preserve">eni teritorijalni razvoj i  </w:t>
      </w:r>
    </w:p>
    <w:p w:rsidR="00B62D47" w:rsidRDefault="00803EC2">
      <w:pPr>
        <w:numPr>
          <w:ilvl w:val="0"/>
          <w:numId w:val="3"/>
        </w:numPr>
        <w:spacing w:after="55"/>
        <w:ind w:left="993" w:right="0" w:hanging="427"/>
      </w:pPr>
      <w:r>
        <w:t xml:space="preserve">Koristiti komparativne prednosti svakog pojedinog prostora. </w:t>
      </w:r>
    </w:p>
    <w:p w:rsidR="00B62D47" w:rsidRDefault="00803EC2">
      <w:pPr>
        <w:spacing w:after="0" w:line="259" w:lineRule="auto"/>
        <w:ind w:left="994" w:right="0" w:firstLine="0"/>
        <w:jc w:val="left"/>
      </w:pPr>
      <w:r>
        <w:t xml:space="preserve"> </w:t>
      </w:r>
    </w:p>
    <w:p w:rsidR="00B62D47" w:rsidRDefault="00803EC2">
      <w:pPr>
        <w:spacing w:after="9"/>
        <w:ind w:left="-13" w:right="0"/>
      </w:pPr>
      <w:r>
        <w:t>Za integrirane teritorijalne investicije preduvjet je izrada strategije, definiranje aktivnosti koje treba provesti i osigurati u</w:t>
      </w:r>
      <w:r>
        <w:t>č</w:t>
      </w:r>
      <w:r>
        <w:t xml:space="preserve">inkovito upravljanje. </w:t>
      </w:r>
    </w:p>
    <w:p w:rsidR="00B62D47" w:rsidRDefault="00803EC2">
      <w:pPr>
        <w:ind w:left="-13" w:right="0"/>
      </w:pPr>
      <w:r>
        <w:t>Iz navedeno</w:t>
      </w:r>
      <w:r>
        <w:t>g je jasno da se radi o višedimenzionalnom pristupu koji je oblikovan prema zna</w:t>
      </w:r>
      <w:r>
        <w:t>č</w:t>
      </w:r>
      <w:r>
        <w:t>ajkama specifi</w:t>
      </w:r>
      <w:r>
        <w:t>č</w:t>
      </w:r>
      <w:r>
        <w:t>nim za odre</w:t>
      </w:r>
      <w:r>
        <w:t>đ</w:t>
      </w:r>
      <w:r>
        <w:t>eno podru</w:t>
      </w:r>
      <w:r>
        <w:t>č</w:t>
      </w:r>
      <w:r>
        <w:t xml:space="preserve">je, a što nadilazi tradicionalne administrativne </w:t>
      </w:r>
      <w:r>
        <w:lastRenderedPageBreak/>
        <w:t>granice. Pritom se zahtijeva ve</w:t>
      </w:r>
      <w:r>
        <w:t>ć</w:t>
      </w:r>
      <w:r>
        <w:t>i stupanj suradnje jedinica lokalne uprave i samouprave na</w:t>
      </w:r>
      <w:r>
        <w:t xml:space="preserve"> odre</w:t>
      </w:r>
      <w:r>
        <w:t>đ</w:t>
      </w:r>
      <w:r>
        <w:t>enom podru</w:t>
      </w:r>
      <w:r>
        <w:t>č</w:t>
      </w:r>
      <w:r>
        <w:t>ju kako bi se koordinirale aktivnosti radi postizanja zajedni</w:t>
      </w:r>
      <w:r>
        <w:t>č</w:t>
      </w:r>
      <w:r>
        <w:t xml:space="preserve">kih ciljeva.  </w:t>
      </w:r>
    </w:p>
    <w:p w:rsidR="00B62D47" w:rsidRDefault="00803EC2">
      <w:pPr>
        <w:spacing w:after="119" w:line="259" w:lineRule="auto"/>
        <w:ind w:right="0" w:firstLine="0"/>
        <w:jc w:val="left"/>
      </w:pPr>
      <w:r>
        <w:t xml:space="preserve"> </w:t>
      </w:r>
    </w:p>
    <w:p w:rsidR="00B62D47" w:rsidRDefault="00803EC2">
      <w:pPr>
        <w:pStyle w:val="Naslov2"/>
        <w:tabs>
          <w:tab w:val="center" w:pos="658"/>
          <w:tab w:val="right" w:pos="9078"/>
        </w:tabs>
        <w:ind w:left="0" w:firstLine="0"/>
      </w:pPr>
      <w:r>
        <w:rPr>
          <w:rFonts w:ascii="Calibri" w:eastAsia="Calibri" w:hAnsi="Calibri" w:cs="Calibri"/>
          <w:b w:val="0"/>
        </w:rPr>
        <w:tab/>
      </w:r>
      <w:r>
        <w:t xml:space="preserve">5. </w:t>
      </w:r>
      <w:r>
        <w:tab/>
        <w:t xml:space="preserve">Pripremne aktivnosti i daljnji koraci za osnivanje urbane aglomeracije Rijeka </w:t>
      </w:r>
    </w:p>
    <w:p w:rsidR="00B62D47" w:rsidRDefault="00803EC2">
      <w:pPr>
        <w:spacing w:after="139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spacing w:after="134"/>
        <w:ind w:left="-13" w:right="0"/>
      </w:pPr>
      <w:bookmarkStart w:id="0" w:name="_GoBack"/>
      <w:r>
        <w:t>Grad Rijeka je, prate</w:t>
      </w:r>
      <w:r>
        <w:t>ć</w:t>
      </w:r>
      <w:r>
        <w:t>i javnu raspravu o novim zakonskim rješenjima, u raz</w:t>
      </w:r>
      <w:r>
        <w:t xml:space="preserve">doblju 2013.-2014. godine izvršio potrebne pripreme za najavljene promjene sustava upravljanja regionalnim razvojem.  </w:t>
      </w:r>
    </w:p>
    <w:p w:rsidR="00B62D47" w:rsidRDefault="00803EC2">
      <w:pPr>
        <w:ind w:left="-13" w:right="0"/>
      </w:pPr>
      <w:r>
        <w:t>Treba ista</w:t>
      </w:r>
      <w:r>
        <w:t>ć</w:t>
      </w:r>
      <w:r>
        <w:t>i da se Grad Rijeka, iako nije bilo zakonske obveze, 2013. godine odlu</w:t>
      </w:r>
      <w:r>
        <w:t>č</w:t>
      </w:r>
      <w:r>
        <w:t xml:space="preserve">io na izradu strateškog dokumenta sukladno strategiji </w:t>
      </w:r>
      <w:r>
        <w:rPr>
          <w:i/>
        </w:rPr>
        <w:t>Europa 2020</w:t>
      </w:r>
      <w:r>
        <w:t xml:space="preserve">.  </w:t>
      </w:r>
    </w:p>
    <w:p w:rsidR="00B62D47" w:rsidRDefault="00803EC2">
      <w:pPr>
        <w:spacing w:after="129"/>
        <w:ind w:left="-13" w:right="0"/>
      </w:pPr>
      <w:r>
        <w:t>Strategija razvoja Grada Rijeke za razdoblje od 2014.-2020. godine (u nastavku: Strategija), koju je Gradsko vije</w:t>
      </w:r>
      <w:r>
        <w:t>ć</w:t>
      </w:r>
      <w:r>
        <w:t xml:space="preserve">e usvojilo na sjednici održanoj 19.09.2013. godine, bit </w:t>
      </w:r>
      <w:r>
        <w:t>ć</w:t>
      </w:r>
      <w:r>
        <w:t>e osnovna platforma za izradu Strategije razvoja urbanog podru</w:t>
      </w:r>
      <w:r>
        <w:t>č</w:t>
      </w:r>
      <w:r>
        <w:t>ja, a p</w:t>
      </w:r>
      <w:r>
        <w:t xml:space="preserve">ristupit </w:t>
      </w:r>
      <w:r>
        <w:t>ć</w:t>
      </w:r>
      <w:r>
        <w:t>e se i potrebnim izmjenama u sustavu pra</w:t>
      </w:r>
      <w:r>
        <w:t>ć</w:t>
      </w:r>
      <w:r>
        <w:t>enja i provo</w:t>
      </w:r>
      <w:r>
        <w:t>đ</w:t>
      </w:r>
      <w:r>
        <w:t xml:space="preserve">enja strateškog planiranja. Strategija je definirala tri strateška cilja i to: </w:t>
      </w:r>
    </w:p>
    <w:p w:rsidR="00B62D47" w:rsidRDefault="00803EC2">
      <w:pPr>
        <w:ind w:left="566" w:right="0" w:firstLine="0"/>
      </w:pPr>
      <w:r>
        <w:rPr>
          <w:b/>
        </w:rPr>
        <w:t>Strateški cilj 1.</w:t>
      </w:r>
      <w:r>
        <w:t xml:space="preserve"> Globalno pozicionirati Rijeku razvojem Rije</w:t>
      </w:r>
      <w:r>
        <w:t>č</w:t>
      </w:r>
      <w:r>
        <w:t xml:space="preserve">koga prometnog pravca </w:t>
      </w:r>
    </w:p>
    <w:p w:rsidR="00B62D47" w:rsidRDefault="00803EC2">
      <w:pPr>
        <w:spacing w:after="131"/>
        <w:ind w:left="2268" w:right="340" w:hanging="1702"/>
      </w:pPr>
      <w:r>
        <w:rPr>
          <w:b/>
        </w:rPr>
        <w:t>Strateški cilj 2.</w:t>
      </w:r>
      <w:r>
        <w:t xml:space="preserve"> Na temelj</w:t>
      </w:r>
      <w:r>
        <w:t xml:space="preserve">ima društva znanja i novih tehnologija razviti  konkurentno gospodarstvo </w:t>
      </w:r>
    </w:p>
    <w:p w:rsidR="00B62D47" w:rsidRDefault="00803EC2">
      <w:pPr>
        <w:ind w:left="2268" w:right="171" w:hanging="1702"/>
      </w:pPr>
      <w:r>
        <w:rPr>
          <w:b/>
        </w:rPr>
        <w:t>Strateški cilj 3.</w:t>
      </w:r>
      <w:r>
        <w:t xml:space="preserve"> Osigurati dostojanstvo svih gra</w:t>
      </w:r>
      <w:r>
        <w:t>đ</w:t>
      </w:r>
      <w:r>
        <w:t>ana ja</w:t>
      </w:r>
      <w:r>
        <w:t>č</w:t>
      </w:r>
      <w:r>
        <w:t>anjem socijalne uklju</w:t>
      </w:r>
      <w:r>
        <w:t>č</w:t>
      </w:r>
      <w:r>
        <w:t>enosti  i razvojem projekata od zajedni</w:t>
      </w:r>
      <w:r>
        <w:t>č</w:t>
      </w:r>
      <w:r>
        <w:t xml:space="preserve">kog interesa </w:t>
      </w:r>
    </w:p>
    <w:bookmarkEnd w:id="0"/>
    <w:p w:rsidR="00B62D47" w:rsidRDefault="00803EC2">
      <w:pPr>
        <w:spacing w:after="136" w:line="259" w:lineRule="auto"/>
        <w:ind w:left="566" w:right="0" w:firstLine="0"/>
        <w:jc w:val="left"/>
      </w:pPr>
      <w:r>
        <w:t xml:space="preserve"> </w:t>
      </w:r>
    </w:p>
    <w:p w:rsidR="00B62D47" w:rsidRDefault="00803EC2">
      <w:pPr>
        <w:ind w:left="-13" w:right="0"/>
      </w:pPr>
      <w:r>
        <w:rPr>
          <w:b/>
        </w:rPr>
        <w:t>Strateški cilj 1.</w:t>
      </w:r>
      <w:r>
        <w:rPr>
          <w:i/>
        </w:rPr>
        <w:t xml:space="preserve"> </w:t>
      </w:r>
      <w:r>
        <w:t>direktno pridonosi ja</w:t>
      </w:r>
      <w:r>
        <w:t>č</w:t>
      </w:r>
      <w:r>
        <w:t>anju konkurentnosti Rijeka na globalnoj razini, a pritom je istaknuta najve</w:t>
      </w:r>
      <w:r>
        <w:t>ć</w:t>
      </w:r>
      <w:r>
        <w:t>a komparativna prednost Rijeke – rije</w:t>
      </w:r>
      <w:r>
        <w:t>č</w:t>
      </w:r>
      <w:r>
        <w:t>ka luka. Uz rije</w:t>
      </w:r>
      <w:r>
        <w:t>č</w:t>
      </w:r>
      <w:r>
        <w:t xml:space="preserve">ku luku, razvija se i </w:t>
      </w:r>
      <w:r>
        <w:t>č</w:t>
      </w:r>
      <w:r>
        <w:t>itav sektor prate</w:t>
      </w:r>
      <w:r>
        <w:t>ć</w:t>
      </w:r>
      <w:r>
        <w:t>ih usluga, ali treba napomenuti da je trend razvoja osnivanje logisti</w:t>
      </w:r>
      <w:r>
        <w:t>č</w:t>
      </w:r>
      <w:r>
        <w:t>kih lanaca. To</w:t>
      </w:r>
      <w:r>
        <w:t xml:space="preserve"> podrazumijeva da se povezuju i uskla</w:t>
      </w:r>
      <w:r>
        <w:t>đ</w:t>
      </w:r>
      <w:r>
        <w:t>uju ponude svih subjekata unutar prometnog sektora. Svrha takvog povezivanja je stvaranje Rije</w:t>
      </w:r>
      <w:r>
        <w:t>č</w:t>
      </w:r>
      <w:r>
        <w:t xml:space="preserve">kog prometnog pravca kao jedinstvene gospodarske ponude Rijeke na globalnom tržištu.  </w:t>
      </w:r>
    </w:p>
    <w:p w:rsidR="00B62D47" w:rsidRDefault="00803EC2">
      <w:pPr>
        <w:spacing w:after="130"/>
        <w:ind w:left="-13" w:right="0"/>
      </w:pPr>
      <w:r>
        <w:t xml:space="preserve">Kao poveznica s ciljevima </w:t>
      </w:r>
      <w:r>
        <w:rPr>
          <w:i/>
        </w:rPr>
        <w:t>Europa 202</w:t>
      </w:r>
      <w:r>
        <w:rPr>
          <w:i/>
        </w:rPr>
        <w:t>0</w:t>
      </w:r>
      <w:r>
        <w:t xml:space="preserve">, definiran je </w:t>
      </w:r>
      <w:r>
        <w:rPr>
          <w:b/>
        </w:rPr>
        <w:t>strateški cilj 2.</w:t>
      </w:r>
      <w:r>
        <w:t>, a koji direktno pridonosi razvoju i primjeni novih znanja s posebnim naglaskom na stvaranje nove ekonomske strukture u rije</w:t>
      </w:r>
      <w:r>
        <w:t>č</w:t>
      </w:r>
      <w:r>
        <w:t>kom gospodarstvu. Podizanje konkurentnosti rije</w:t>
      </w:r>
      <w:r>
        <w:t>č</w:t>
      </w:r>
      <w:r>
        <w:t>kog gospodarstva putem novih znanja i tehnologija</w:t>
      </w:r>
      <w:r>
        <w:t xml:space="preserve"> zna</w:t>
      </w:r>
      <w:r>
        <w:t>č</w:t>
      </w:r>
      <w:r>
        <w:t xml:space="preserve">i i doprinos konkurentnosti hrvatskog gospodarstva, a što je glavni cilj EU. </w:t>
      </w:r>
    </w:p>
    <w:p w:rsidR="00B62D47" w:rsidRDefault="00803EC2">
      <w:pPr>
        <w:spacing w:after="131"/>
        <w:ind w:left="-13" w:right="0"/>
      </w:pPr>
      <w:r>
        <w:t xml:space="preserve">Realizacijom </w:t>
      </w:r>
      <w:r>
        <w:rPr>
          <w:b/>
        </w:rPr>
        <w:t>strateškog cilja 3.</w:t>
      </w:r>
      <w:r>
        <w:t xml:space="preserve"> podignut </w:t>
      </w:r>
      <w:r>
        <w:t>ć</w:t>
      </w:r>
      <w:r>
        <w:t>e se konkurentnost Rijeke kao grada u cjelini, a to zna</w:t>
      </w:r>
      <w:r>
        <w:t>č</w:t>
      </w:r>
      <w:r>
        <w:t>i podizanje kvalitete života za sve gra</w:t>
      </w:r>
      <w:r>
        <w:t>đ</w:t>
      </w:r>
      <w:r>
        <w:t>ane. S obzirom da su neka istraživ</w:t>
      </w:r>
      <w:r>
        <w:t>anja pokazala da turisti žele uživati na mjestima i u doga</w:t>
      </w:r>
      <w:r>
        <w:t>đ</w:t>
      </w:r>
      <w:r>
        <w:t>ajima koji obilježavaju život lokalne zajednice, onda je ovaj strateški cilj zna</w:t>
      </w:r>
      <w:r>
        <w:t>č</w:t>
      </w:r>
      <w:r>
        <w:t xml:space="preserve">ajno povezan s daljnjim razvojem turizma u Rijeci.  </w:t>
      </w:r>
    </w:p>
    <w:p w:rsidR="00B62D47" w:rsidRDefault="00803EC2">
      <w:pPr>
        <w:ind w:left="-13" w:right="0"/>
      </w:pPr>
      <w:r>
        <w:t>Prethodno navedeni Strateški cilj 1. i 2. zasigurno mogu predst</w:t>
      </w:r>
      <w:r>
        <w:t>avljati zajedni</w:t>
      </w:r>
      <w:r>
        <w:t>č</w:t>
      </w:r>
      <w:r>
        <w:t xml:space="preserve">ki interes svih lokalnih jedinica koje </w:t>
      </w:r>
      <w:r>
        <w:t>ć</w:t>
      </w:r>
      <w:r>
        <w:t>e u</w:t>
      </w:r>
      <w:r>
        <w:t>ć</w:t>
      </w:r>
      <w:r>
        <w:t xml:space="preserve">i u sastav Urbane aglomeracije Rijeka. Osim toga, navedena  dva strateška cilja direktno pridonose pojedinim elementima konkurentnosti s izrazitim utjecajem na gospodarstvo. Sigurno je da </w:t>
      </w:r>
      <w:r>
        <w:t>ć</w:t>
      </w:r>
      <w:r>
        <w:t>e se kr</w:t>
      </w:r>
      <w:r>
        <w:t>oz rad Partnerskog vije</w:t>
      </w:r>
      <w:r>
        <w:t>ć</w:t>
      </w:r>
      <w:r>
        <w:t>a prodiskutirati i ostali interesi odnosno mogu</w:t>
      </w:r>
      <w:r>
        <w:t>ć</w:t>
      </w:r>
      <w:r>
        <w:t xml:space="preserve">i prioriteti Urbane aglomeracije.  </w:t>
      </w:r>
    </w:p>
    <w:p w:rsidR="00B62D47" w:rsidRDefault="00803EC2">
      <w:pPr>
        <w:ind w:left="-13" w:right="0"/>
      </w:pPr>
      <w:r>
        <w:lastRenderedPageBreak/>
        <w:t>Grad Rijeka je u Strategiji posebno naglasio regionalnu suradnju isti</w:t>
      </w:r>
      <w:r>
        <w:t>č</w:t>
      </w:r>
      <w:r>
        <w:t>u</w:t>
      </w:r>
      <w:r>
        <w:t>ć</w:t>
      </w:r>
      <w:r>
        <w:t>i da je cilj interesno povezivanje Grada Rijeke sa susjednim gradovima i op</w:t>
      </w:r>
      <w:r>
        <w:t>ć</w:t>
      </w:r>
      <w:r>
        <w:t xml:space="preserve">inama na strateškim projektima. </w:t>
      </w:r>
    </w:p>
    <w:p w:rsidR="00B62D47" w:rsidRDefault="00803EC2">
      <w:pPr>
        <w:spacing w:after="132"/>
        <w:ind w:left="-13" w:right="0"/>
      </w:pPr>
      <w:r>
        <w:t>Treba naglasiti da su i aktivnosti Grada Rijeke, provedene krajem 2014. godine, a vezane uz vlasni</w:t>
      </w:r>
      <w:r>
        <w:t>č</w:t>
      </w:r>
      <w:r>
        <w:t xml:space="preserve">ku transformaciju Regionalne razvojne agencije </w:t>
      </w:r>
      <w:proofErr w:type="spellStart"/>
      <w:r>
        <w:t>Porin</w:t>
      </w:r>
      <w:proofErr w:type="spellEnd"/>
      <w:r>
        <w:t xml:space="preserve"> d.o.o., bile dio priprema za uskla</w:t>
      </w:r>
      <w:r>
        <w:t>đ</w:t>
      </w:r>
      <w:r>
        <w:t>ivanje s novom zakonskom regulativom</w:t>
      </w:r>
      <w:r>
        <w:t>. S tim u svezi, Gradsko vije</w:t>
      </w:r>
      <w:r>
        <w:t>ć</w:t>
      </w:r>
      <w:r>
        <w:t>e Grada Rijeke, na sjednici održanoj 25.09.2014. godine, donijelo je Odluku o stjecanju poslovnog udjela u trgova</w:t>
      </w:r>
      <w:r>
        <w:t>č</w:t>
      </w:r>
      <w:r>
        <w:t xml:space="preserve">kom društvu Regionalna razvojna agencija </w:t>
      </w:r>
      <w:proofErr w:type="spellStart"/>
      <w:r>
        <w:t>Porin</w:t>
      </w:r>
      <w:proofErr w:type="spellEnd"/>
      <w:r>
        <w:t xml:space="preserve"> d.o.o. (prijenos poslovnog udjela s Primorsko-goranske županije n</w:t>
      </w:r>
      <w:r>
        <w:t>a Grad Rijeku). Sukladno navedenim zakonskim promjenama, bila je nužna i promjena tvrtke u Rije</w:t>
      </w:r>
      <w:r>
        <w:t>č</w:t>
      </w:r>
      <w:r>
        <w:t xml:space="preserve">ku razvojnu agenciju </w:t>
      </w:r>
      <w:proofErr w:type="spellStart"/>
      <w:r>
        <w:t>Porin</w:t>
      </w:r>
      <w:proofErr w:type="spellEnd"/>
      <w:r>
        <w:t xml:space="preserve"> d.o.o. (u nastavku: RRA </w:t>
      </w:r>
      <w:proofErr w:type="spellStart"/>
      <w:r>
        <w:t>Porin</w:t>
      </w:r>
      <w:proofErr w:type="spellEnd"/>
      <w:r>
        <w:t xml:space="preserve">). </w:t>
      </w:r>
    </w:p>
    <w:p w:rsidR="00B62D47" w:rsidRDefault="00803EC2">
      <w:pPr>
        <w:spacing w:after="133"/>
        <w:ind w:left="-13" w:right="0"/>
      </w:pPr>
      <w:r>
        <w:t xml:space="preserve">Mr. </w:t>
      </w:r>
      <w:proofErr w:type="spellStart"/>
      <w:r>
        <w:t>sc</w:t>
      </w:r>
      <w:proofErr w:type="spellEnd"/>
      <w:r>
        <w:t xml:space="preserve">. Vojko </w:t>
      </w:r>
      <w:proofErr w:type="spellStart"/>
      <w:r>
        <w:t>Obersnel</w:t>
      </w:r>
      <w:proofErr w:type="spellEnd"/>
      <w:r>
        <w:t>, Gradona</w:t>
      </w:r>
      <w:r>
        <w:t>č</w:t>
      </w:r>
      <w:r>
        <w:t xml:space="preserve">elnik Grada Rijeke, je sukladno navedenom Zakonu, inicirao sastanak </w:t>
      </w:r>
      <w:r>
        <w:t>č</w:t>
      </w:r>
      <w:r>
        <w:t>elnika jedinica lokalnih samouprava s kojima Grad Rijeka ve</w:t>
      </w:r>
      <w:r>
        <w:t>ć</w:t>
      </w:r>
      <w:r>
        <w:t xml:space="preserve"> ima razvijenu suradnju u razli</w:t>
      </w:r>
      <w:r>
        <w:t>č</w:t>
      </w:r>
      <w:r>
        <w:t xml:space="preserve">itim projektima. Sastanak je održan dana 19.02.2015. godine uz prisustvovanje 13 predstavnika jedinica lokalne samouprave i RRA </w:t>
      </w:r>
      <w:proofErr w:type="spellStart"/>
      <w:r>
        <w:t>Porin</w:t>
      </w:r>
      <w:proofErr w:type="spellEnd"/>
      <w:r>
        <w:t xml:space="preserve"> d.o.o.. Na sastanku je zaklju</w:t>
      </w:r>
      <w:r>
        <w:t>č</w:t>
      </w:r>
      <w:r>
        <w:t xml:space="preserve">eno da </w:t>
      </w:r>
      <w:r>
        <w:t>ć</w:t>
      </w:r>
      <w:r>
        <w:t>e, vezano uz ustrojavanje urbane aglomeracije Rijeka, sve jedinice lokalne samouprave koje su sudjelovale na sastanku pribaviti prethodno mišljenje svojih predstavni</w:t>
      </w:r>
      <w:r>
        <w:t>č</w:t>
      </w:r>
      <w:r>
        <w:t xml:space="preserve">kih tijela do kraja ožujka 2015. godine.  </w:t>
      </w:r>
    </w:p>
    <w:p w:rsidR="00B62D47" w:rsidRDefault="00803EC2">
      <w:pPr>
        <w:spacing w:after="128"/>
        <w:ind w:left="-13" w:right="0"/>
      </w:pPr>
      <w:r>
        <w:t>Jedinice lokalne samouprave, odnosno gradovi i op</w:t>
      </w:r>
      <w:r>
        <w:t>ć</w:t>
      </w:r>
      <w:r>
        <w:t>ine koji ulaze u sastav urbane aglomeracije utvr</w:t>
      </w:r>
      <w:r>
        <w:t>đ</w:t>
      </w:r>
      <w:r>
        <w:t>uje Ministar odlukom na prijedlog Grada Rijeke kao sjedišta urbane aglomeracije uz prethodno mišljenje svih lokalnih jedinica uklju</w:t>
      </w:r>
      <w:r>
        <w:t>č</w:t>
      </w:r>
      <w:r>
        <w:t>enih u aglomeraciju i min</w:t>
      </w:r>
      <w:r>
        <w:t>istarstva nadležnog za prostorno ure</w:t>
      </w:r>
      <w:r>
        <w:t>đ</w:t>
      </w:r>
      <w:r>
        <w:t xml:space="preserve">enje. </w:t>
      </w:r>
    </w:p>
    <w:p w:rsidR="00B62D47" w:rsidRDefault="00803EC2">
      <w:pPr>
        <w:ind w:left="-13" w:right="0"/>
      </w:pPr>
      <w:r>
        <w:t xml:space="preserve">Na navedenom sastanku, održanom 19.02.2015. godine, dogovoreno je da </w:t>
      </w:r>
      <w:r>
        <w:t>ć</w:t>
      </w:r>
      <w:r>
        <w:t>e sve jedinice lokalne samouprave odrediti svoje koordinatore za daljnje pripremne aktivnosti. Pritom se podrazumijeva suradnja svih koordinat</w:t>
      </w:r>
      <w:r>
        <w:t xml:space="preserve">ora, pod vodstvom koordinatora kojeg </w:t>
      </w:r>
      <w:r>
        <w:t>ć</w:t>
      </w:r>
      <w:r>
        <w:t>e odrediti Grad Rijeka, vezano uz prilagodbu drugim provedbenim aktima po pitanju osnivanja Partnerskog vije</w:t>
      </w:r>
      <w:r>
        <w:t>ć</w:t>
      </w:r>
      <w:r>
        <w:t>a, izrade Strategije razvoja urbanog podru</w:t>
      </w:r>
      <w:r>
        <w:t>č</w:t>
      </w:r>
      <w:r>
        <w:t xml:space="preserve">ja i uloge RRA </w:t>
      </w:r>
      <w:proofErr w:type="spellStart"/>
      <w:r>
        <w:t>Porin</w:t>
      </w:r>
      <w:proofErr w:type="spellEnd"/>
      <w:r>
        <w:t xml:space="preserve"> d.o.o. </w:t>
      </w:r>
    </w:p>
    <w:p w:rsidR="00B62D47" w:rsidRDefault="00803EC2" w:rsidP="00BA1DE5">
      <w:pPr>
        <w:ind w:left="-13" w:right="0"/>
      </w:pPr>
      <w:r>
        <w:t>Iz navedenog je vidljivo da su se pre</w:t>
      </w:r>
      <w:r>
        <w:t xml:space="preserve">dstavnici  jedinica lokalnih samouprava, na inicijativu mr. </w:t>
      </w:r>
      <w:proofErr w:type="spellStart"/>
      <w:r>
        <w:t>sc</w:t>
      </w:r>
      <w:proofErr w:type="spellEnd"/>
      <w:r>
        <w:t xml:space="preserve">. Vojka </w:t>
      </w:r>
      <w:proofErr w:type="spellStart"/>
      <w:r>
        <w:t>Obersnela</w:t>
      </w:r>
      <w:proofErr w:type="spellEnd"/>
      <w:r>
        <w:t>, Gradona</w:t>
      </w:r>
      <w:r>
        <w:t>č</w:t>
      </w:r>
      <w:r>
        <w:t>elnika Grada Rijeke, suglasili da je mogu</w:t>
      </w:r>
      <w:r>
        <w:t>ć</w:t>
      </w:r>
      <w:r>
        <w:t xml:space="preserve">e realizirati </w:t>
      </w:r>
      <w:r>
        <w:t>č</w:t>
      </w:r>
      <w:r>
        <w:t>itav niz pripremnih aktivnosti i prije donošenja provedbenih dokumenata nadležnih državnih tijela. Treba nagla</w:t>
      </w:r>
      <w:r>
        <w:t>siti da je pritom osnovni motiv izvršiti kvalitetnu i u</w:t>
      </w:r>
      <w:r>
        <w:t>č</w:t>
      </w:r>
      <w:r>
        <w:t>inkovitu pripremu za prva sredstva iz EU-fondova koja su Republici Hrvatskoj na raspolaganju ve</w:t>
      </w:r>
      <w:r>
        <w:t>ć</w:t>
      </w:r>
      <w:r>
        <w:t xml:space="preserve"> tijekom 2015. godine. Time je iskazana ambicija </w:t>
      </w:r>
      <w:r>
        <w:t>č</w:t>
      </w:r>
      <w:r>
        <w:t>elnika jedinica lokalne samouprave budu</w:t>
      </w:r>
      <w:r>
        <w:t>ć</w:t>
      </w:r>
      <w:r>
        <w:t>e urbane aglom</w:t>
      </w:r>
      <w:r>
        <w:t>eracije Rijeka da se raspoloživa EU-sredstva realiziraju na dobrobit gra</w:t>
      </w:r>
      <w:r>
        <w:t>đ</w:t>
      </w:r>
      <w:r>
        <w:t xml:space="preserve">ana i poduzetnika, odnosno za razvoj urbane aglomeracije Rijeka. </w:t>
      </w:r>
    </w:p>
    <w:sectPr w:rsidR="00B62D47">
      <w:footerReference w:type="even" r:id="rId25"/>
      <w:footerReference w:type="default" r:id="rId26"/>
      <w:footerReference w:type="first" r:id="rId27"/>
      <w:pgSz w:w="11900" w:h="16840"/>
      <w:pgMar w:top="1458" w:right="1406" w:bottom="1437" w:left="1416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3EC2" w:rsidRDefault="00803EC2">
      <w:pPr>
        <w:spacing w:after="0" w:line="240" w:lineRule="auto"/>
      </w:pPr>
      <w:r>
        <w:separator/>
      </w:r>
    </w:p>
  </w:endnote>
  <w:endnote w:type="continuationSeparator" w:id="0">
    <w:p w:rsidR="00803EC2" w:rsidRDefault="00803E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62D47" w:rsidRDefault="00803EC2">
    <w:pPr>
      <w:spacing w:after="0" w:line="259" w:lineRule="auto"/>
      <w:ind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B62D47" w:rsidRDefault="00803EC2">
    <w:pPr>
      <w:spacing w:after="0" w:line="259" w:lineRule="auto"/>
      <w:ind w:right="0" w:firstLine="0"/>
      <w:jc w:val="left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62D47" w:rsidRDefault="00803EC2">
    <w:pPr>
      <w:spacing w:after="0" w:line="259" w:lineRule="auto"/>
      <w:ind w:right="8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B62D47" w:rsidRDefault="00803EC2">
    <w:pPr>
      <w:spacing w:after="0" w:line="259" w:lineRule="auto"/>
      <w:ind w:right="0" w:firstLine="0"/>
      <w:jc w:val="left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62D47" w:rsidRDefault="00B62D47">
    <w:pPr>
      <w:spacing w:after="160" w:line="259" w:lineRule="auto"/>
      <w:ind w:righ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3EC2" w:rsidRDefault="00803EC2">
      <w:pPr>
        <w:spacing w:after="0" w:line="240" w:lineRule="auto"/>
      </w:pPr>
      <w:r>
        <w:separator/>
      </w:r>
    </w:p>
  </w:footnote>
  <w:footnote w:type="continuationSeparator" w:id="0">
    <w:p w:rsidR="00803EC2" w:rsidRDefault="00803E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8A5E15"/>
    <w:multiLevelType w:val="hybridMultilevel"/>
    <w:tmpl w:val="51A492B6"/>
    <w:lvl w:ilvl="0" w:tplc="EEEA32B2">
      <w:start w:val="1"/>
      <w:numFmt w:val="bullet"/>
      <w:lvlText w:val="•"/>
      <w:lvlJc w:val="left"/>
      <w:pPr>
        <w:ind w:left="9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BBCC82C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6A42E42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65E95D6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CA0D2C2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38E149E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D4C9CF4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6F69B38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7008C12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714F25F0"/>
    <w:multiLevelType w:val="hybridMultilevel"/>
    <w:tmpl w:val="2F30983A"/>
    <w:lvl w:ilvl="0" w:tplc="5B44CA7A">
      <w:start w:val="1"/>
      <w:numFmt w:val="bullet"/>
      <w:lvlText w:val="•"/>
      <w:lvlJc w:val="left"/>
      <w:pPr>
        <w:ind w:left="9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4F87DA0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D94CD50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DD6EC38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DDA8E58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5308306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2BCD244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2C67658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9008772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79C016C9"/>
    <w:multiLevelType w:val="hybridMultilevel"/>
    <w:tmpl w:val="B6A8BA2A"/>
    <w:lvl w:ilvl="0" w:tplc="5FC6C526">
      <w:start w:val="1"/>
      <w:numFmt w:val="bullet"/>
      <w:lvlText w:val="•"/>
      <w:lvlJc w:val="left"/>
      <w:pPr>
        <w:ind w:left="9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E6AD698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52A40B6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7A2E4EE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6AEB248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4FC4A34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D0A227C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CECAD74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73A2DDE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2D47"/>
    <w:rsid w:val="00096ECB"/>
    <w:rsid w:val="00803EC2"/>
    <w:rsid w:val="00B62D47"/>
    <w:rsid w:val="00BA1DE5"/>
    <w:rsid w:val="00D6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6FD0C33-A282-46E7-B999-7238B4A85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90" w:line="269" w:lineRule="auto"/>
      <w:ind w:right="3" w:firstLine="556"/>
      <w:jc w:val="both"/>
    </w:pPr>
    <w:rPr>
      <w:rFonts w:ascii="Arial" w:eastAsia="Arial" w:hAnsi="Arial" w:cs="Arial"/>
      <w:color w:val="000000"/>
    </w:rPr>
  </w:style>
  <w:style w:type="paragraph" w:styleId="Naslov1">
    <w:name w:val="heading 1"/>
    <w:next w:val="Normal"/>
    <w:link w:val="Naslov1Char"/>
    <w:uiPriority w:val="9"/>
    <w:unhideWhenUsed/>
    <w:qFormat/>
    <w:pPr>
      <w:keepNext/>
      <w:keepLines/>
      <w:spacing w:after="96"/>
      <w:ind w:left="10" w:right="3" w:hanging="10"/>
      <w:jc w:val="center"/>
      <w:outlineLvl w:val="0"/>
    </w:pPr>
    <w:rPr>
      <w:rFonts w:ascii="Arial" w:eastAsia="Arial" w:hAnsi="Arial" w:cs="Arial"/>
      <w:b/>
      <w:color w:val="000000"/>
      <w:sz w:val="28"/>
    </w:rPr>
  </w:style>
  <w:style w:type="paragraph" w:styleId="Naslov2">
    <w:name w:val="heading 2"/>
    <w:next w:val="Normal"/>
    <w:link w:val="Naslov2Char"/>
    <w:uiPriority w:val="9"/>
    <w:unhideWhenUsed/>
    <w:qFormat/>
    <w:pPr>
      <w:keepNext/>
      <w:keepLines/>
      <w:spacing w:after="113" w:line="252" w:lineRule="auto"/>
      <w:ind w:left="576" w:hanging="10"/>
      <w:outlineLvl w:val="1"/>
    </w:pPr>
    <w:rPr>
      <w:rFonts w:ascii="Arial" w:eastAsia="Arial" w:hAnsi="Arial" w:cs="Arial"/>
      <w:b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2Char">
    <w:name w:val="Naslov 2 Char"/>
    <w:link w:val="Naslov2"/>
    <w:rPr>
      <w:rFonts w:ascii="Arial" w:eastAsia="Arial" w:hAnsi="Arial" w:cs="Arial"/>
      <w:b/>
      <w:color w:val="000000"/>
      <w:sz w:val="22"/>
    </w:rPr>
  </w:style>
  <w:style w:type="character" w:customStyle="1" w:styleId="Naslov1Char">
    <w:name w:val="Naslov 1 Char"/>
    <w:link w:val="Naslov1"/>
    <w:rPr>
      <w:rFonts w:ascii="Arial" w:eastAsia="Arial" w:hAnsi="Arial" w:cs="Arial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40.jp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8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30.jp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20.jpg"/><Relationship Id="rId20" Type="http://schemas.openxmlformats.org/officeDocument/2006/relationships/image" Target="media/image60.jp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80.jpg"/><Relationship Id="rId5" Type="http://schemas.openxmlformats.org/officeDocument/2006/relationships/footnotes" Target="footnotes.xml"/><Relationship Id="rId15" Type="http://schemas.openxmlformats.org/officeDocument/2006/relationships/image" Target="media/image10.jpg"/><Relationship Id="rId23" Type="http://schemas.openxmlformats.org/officeDocument/2006/relationships/image" Target="media/image9.jpg"/><Relationship Id="rId28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50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0.jpg"/><Relationship Id="rId22" Type="http://schemas.openxmlformats.org/officeDocument/2006/relationships/image" Target="media/image70.jpg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3246</Words>
  <Characters>18508</Characters>
  <Application>Microsoft Office Word</Application>
  <DocSecurity>0</DocSecurity>
  <Lines>154</Lines>
  <Paragraphs>43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Informacija-UARijeka-27-02-2015 s prijedlogom Odluke</vt:lpstr>
    </vt:vector>
  </TitlesOfParts>
  <Company/>
  <LinksUpToDate>false</LinksUpToDate>
  <CharactersWithSpaces>21711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Informacija-UARijeka-27-02-2015 s prijedlogom Odluke</dc:title>
  <dc:subject/>
  <dc:creator>Korisnik</dc:creator>
  <cp:keywords/>
  <cp:lastModifiedBy>Gordana tomas</cp:lastModifiedBy>
  <cp:revision>3</cp:revision>
  <dcterms:created xsi:type="dcterms:W3CDTF">2018-05-09T12:32:00Z</dcterms:created>
  <dcterms:modified xsi:type="dcterms:W3CDTF">2018-05-09T12:59:00Z</dcterms:modified>
</cp:coreProperties>
</file>